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468A" w14:textId="77777777" w:rsidR="00116EAD" w:rsidRPr="00017B71" w:rsidRDefault="00116EAD" w:rsidP="00116EAD">
      <w:pPr>
        <w:spacing w:after="0" w:line="240" w:lineRule="auto"/>
        <w:jc w:val="center"/>
        <w:rPr>
          <w:rFonts w:ascii="Arial" w:eastAsia="Arial" w:hAnsi="Arial" w:cs="Times New Roman"/>
          <w:b/>
          <w:color w:val="0F4C9C"/>
          <w:kern w:val="0"/>
          <w:sz w:val="55"/>
          <w:szCs w:val="22"/>
          <w14:ligatures w14:val="none"/>
        </w:rPr>
      </w:pPr>
      <w:r w:rsidRPr="00017B71">
        <w:rPr>
          <w:rFonts w:ascii="Arial" w:eastAsia="Arial" w:hAnsi="Arial" w:cs="Times New Roman"/>
          <w:b/>
          <w:color w:val="0F4C9C"/>
          <w:kern w:val="0"/>
          <w:sz w:val="55"/>
          <w:szCs w:val="22"/>
          <w14:ligatures w14:val="none"/>
        </w:rPr>
        <w:t xml:space="preserve">Standard Terms &amp; Conditions </w:t>
      </w:r>
      <w:r w:rsidRPr="00017B71">
        <w:rPr>
          <w:rFonts w:ascii="Arial" w:eastAsia="Arial" w:hAnsi="Arial" w:cs="Times New Roman"/>
          <w:b/>
          <w:color w:val="0F4C9C"/>
          <w:kern w:val="0"/>
          <w:sz w:val="55"/>
          <w:szCs w:val="22"/>
          <w14:ligatures w14:val="none"/>
        </w:rPr>
        <w:br/>
        <w:t>of Purchase</w:t>
      </w:r>
    </w:p>
    <w:p w14:paraId="23E0F992" w14:textId="77777777" w:rsidR="00116EAD" w:rsidRPr="00116EAD" w:rsidRDefault="00116EAD" w:rsidP="00116EAD">
      <w:pPr>
        <w:spacing w:after="0" w:line="240" w:lineRule="auto"/>
        <w:jc w:val="center"/>
        <w:rPr>
          <w:rFonts w:ascii="Arial" w:eastAsia="Arial" w:hAnsi="Arial" w:cs="Times New Roman"/>
          <w:b/>
          <w:color w:val="0F4C9C"/>
          <w:kern w:val="0"/>
          <w:sz w:val="55"/>
          <w:szCs w:val="22"/>
          <w14:ligatures w14:val="none"/>
        </w:rPr>
      </w:pPr>
    </w:p>
    <w:p w14:paraId="08D31CED" w14:textId="515373FC" w:rsidR="00116EAD" w:rsidRPr="00722A70" w:rsidRDefault="00116EAD" w:rsidP="00116EAD">
      <w:pPr>
        <w:spacing w:after="0" w:line="240" w:lineRule="auto"/>
        <w:jc w:val="center"/>
        <w:rPr>
          <w:rFonts w:ascii="Arial" w:eastAsia="Arial" w:hAnsi="Arial" w:cs="Times New Roman"/>
          <w:b/>
          <w:color w:val="000000" w:themeColor="text1"/>
          <w:kern w:val="0"/>
          <w:sz w:val="55"/>
          <w:szCs w:val="22"/>
          <w14:ligatures w14:val="none"/>
        </w:rPr>
      </w:pPr>
      <w:r w:rsidRPr="00722A70">
        <w:rPr>
          <w:rFonts w:ascii="Arial" w:eastAsia="Arial" w:hAnsi="Arial" w:cs="Times New Roman"/>
          <w:b/>
          <w:color w:val="000000" w:themeColor="text1"/>
          <w:kern w:val="0"/>
          <w:sz w:val="32"/>
          <w:szCs w:val="28"/>
          <w14:ligatures w14:val="none"/>
        </w:rPr>
        <w:t xml:space="preserve">ATTACHMENT </w:t>
      </w:r>
      <w:r w:rsidR="00A0362E">
        <w:rPr>
          <w:rFonts w:ascii="Arial" w:eastAsia="Arial" w:hAnsi="Arial" w:cs="Times New Roman"/>
          <w:b/>
          <w:color w:val="000000" w:themeColor="text1"/>
          <w:kern w:val="0"/>
          <w:sz w:val="32"/>
          <w:szCs w:val="28"/>
          <w14:ligatures w14:val="none"/>
        </w:rPr>
        <w:t>E</w:t>
      </w:r>
    </w:p>
    <w:p w14:paraId="31DA6161" w14:textId="77777777" w:rsidR="00116EAD" w:rsidRDefault="00116EAD">
      <w:pPr>
        <w:rPr>
          <w:rFonts w:ascii="Arial" w:eastAsia="Times New Roman" w:hAnsi="Arial" w:cs="Arial"/>
          <w:b/>
          <w:bCs/>
          <w:kern w:val="36"/>
          <w14:ligatures w14:val="none"/>
        </w:rPr>
      </w:pPr>
      <w:r>
        <w:rPr>
          <w:rFonts w:ascii="Arial" w:eastAsia="Times New Roman" w:hAnsi="Arial" w:cs="Arial"/>
          <w:b/>
          <w:bCs/>
          <w:kern w:val="36"/>
          <w14:ligatures w14:val="none"/>
        </w:rPr>
        <w:br w:type="page"/>
      </w:r>
    </w:p>
    <w:p w14:paraId="685D5675" w14:textId="1E3E2D5B" w:rsidR="62687FC7" w:rsidRPr="00585DC5" w:rsidRDefault="00214A6F" w:rsidP="00722A70">
      <w:pPr>
        <w:spacing w:before="100" w:beforeAutospacing="1" w:after="100" w:afterAutospacing="1" w:line="240" w:lineRule="auto"/>
        <w:jc w:val="center"/>
        <w:rPr>
          <w:rFonts w:ascii="Arial" w:eastAsia="Times New Roman" w:hAnsi="Arial" w:cs="Arial"/>
          <w:b/>
          <w:bCs/>
        </w:rPr>
      </w:pPr>
      <w:r w:rsidRPr="00585DC5">
        <w:rPr>
          <w:rFonts w:ascii="Arial" w:eastAsia="Times New Roman" w:hAnsi="Arial" w:cs="Arial"/>
          <w:b/>
          <w:bCs/>
          <w:kern w:val="36"/>
          <w14:ligatures w14:val="none"/>
        </w:rPr>
        <w:lastRenderedPageBreak/>
        <w:t>STANDARD TERMS AND CONDITIONS OF PURCHASE</w:t>
      </w:r>
    </w:p>
    <w:p w14:paraId="23F25495" w14:textId="1237FBC3" w:rsidR="62687FC7" w:rsidRPr="00585DC5" w:rsidRDefault="00CC0592" w:rsidP="00585DC5">
      <w:pPr>
        <w:spacing w:before="100" w:beforeAutospacing="1" w:after="100" w:afterAutospacing="1" w:line="240" w:lineRule="auto"/>
        <w:jc w:val="center"/>
        <w:rPr>
          <w:rFonts w:ascii="Arial" w:eastAsia="Times New Roman" w:hAnsi="Arial" w:cs="Arial"/>
          <w:b/>
          <w:bCs/>
        </w:rPr>
      </w:pPr>
      <w:r w:rsidRPr="00585DC5">
        <w:rPr>
          <w:rFonts w:ascii="Arial" w:eastAsia="Times New Roman" w:hAnsi="Arial" w:cs="Arial"/>
          <w:b/>
          <w:bCs/>
          <w:kern w:val="36"/>
          <w14:ligatures w14:val="none"/>
        </w:rPr>
        <w:t>ATTACHMENT</w:t>
      </w:r>
      <w:r w:rsidR="00F759C9" w:rsidRPr="00585DC5">
        <w:rPr>
          <w:rFonts w:ascii="Arial" w:eastAsia="Times New Roman" w:hAnsi="Arial" w:cs="Arial"/>
          <w:b/>
          <w:bCs/>
          <w:kern w:val="0"/>
          <w14:ligatures w14:val="none"/>
        </w:rPr>
        <w:t xml:space="preserve"> E</w:t>
      </w:r>
      <w:r w:rsidR="00E546B6" w:rsidRPr="00585DC5">
        <w:rPr>
          <w:rFonts w:ascii="Arial" w:eastAsia="Times New Roman" w:hAnsi="Arial" w:cs="Arial"/>
          <w:b/>
          <w:bCs/>
          <w:kern w:val="0"/>
          <w14:ligatures w14:val="none"/>
        </w:rPr>
        <w:t xml:space="preserve"> </w:t>
      </w:r>
      <w:r w:rsidR="00087CD2">
        <w:rPr>
          <w:rFonts w:ascii="Arial" w:eastAsia="Times New Roman" w:hAnsi="Arial" w:cs="Arial"/>
          <w:b/>
          <w:bCs/>
          <w:kern w:val="0"/>
          <w14:ligatures w14:val="none"/>
        </w:rPr>
        <w:br/>
      </w:r>
      <w:r w:rsidR="00E546B6" w:rsidRPr="00585DC5">
        <w:rPr>
          <w:rFonts w:ascii="Arial" w:eastAsia="Times New Roman" w:hAnsi="Arial" w:cs="Arial"/>
          <w:kern w:val="0"/>
          <w14:ligatures w14:val="none"/>
        </w:rPr>
        <w:br/>
      </w:r>
      <w:r w:rsidR="00E546B6" w:rsidRPr="00585DC5">
        <w:rPr>
          <w:rFonts w:ascii="Arial" w:eastAsia="Times New Roman" w:hAnsi="Arial" w:cs="Arial"/>
          <w:b/>
          <w:bCs/>
          <w:kern w:val="0"/>
          <w14:ligatures w14:val="none"/>
        </w:rPr>
        <w:t>Environmental, Social, and Governance (ESG) Requirements</w:t>
      </w:r>
    </w:p>
    <w:p w14:paraId="45B4D890" w14:textId="13F6A8B2"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This </w:t>
      </w:r>
      <w:r w:rsidR="00F759C9" w:rsidRPr="00722A70">
        <w:rPr>
          <w:rFonts w:ascii="Arial" w:eastAsia="Times New Roman" w:hAnsi="Arial" w:cs="Arial"/>
          <w:kern w:val="0"/>
          <w:sz w:val="22"/>
          <w:szCs w:val="22"/>
          <w14:ligatures w14:val="none"/>
        </w:rPr>
        <w:t>Attachment E</w:t>
      </w:r>
      <w:r w:rsidRPr="00722A70">
        <w:rPr>
          <w:rFonts w:ascii="Arial" w:eastAsia="Times New Roman" w:hAnsi="Arial" w:cs="Arial"/>
          <w:kern w:val="0"/>
          <w:sz w:val="22"/>
          <w:szCs w:val="22"/>
          <w14:ligatures w14:val="none"/>
        </w:rPr>
        <w:t xml:space="preserve"> is incorporated into </w:t>
      </w:r>
      <w:r w:rsidR="00214A6F" w:rsidRPr="00722A70">
        <w:rPr>
          <w:rFonts w:ascii="Arial" w:eastAsia="Times New Roman" w:hAnsi="Arial" w:cs="Arial"/>
          <w:kern w:val="0"/>
          <w:sz w:val="22"/>
          <w:szCs w:val="22"/>
          <w14:ligatures w14:val="none"/>
        </w:rPr>
        <w:t>Kidde Global Solutions’</w:t>
      </w:r>
      <w:r w:rsidRPr="00722A70">
        <w:rPr>
          <w:rFonts w:ascii="Arial" w:eastAsia="Times New Roman" w:hAnsi="Arial" w:cs="Arial"/>
          <w:kern w:val="0"/>
          <w:sz w:val="22"/>
          <w:szCs w:val="22"/>
          <w14:ligatures w14:val="none"/>
        </w:rPr>
        <w:t xml:space="preserve"> </w:t>
      </w:r>
      <w:r w:rsidR="00F759C9" w:rsidRPr="00722A70">
        <w:rPr>
          <w:rFonts w:ascii="Arial" w:eastAsia="Times New Roman" w:hAnsi="Arial" w:cs="Arial"/>
          <w:kern w:val="0"/>
          <w:sz w:val="22"/>
          <w:szCs w:val="22"/>
          <w14:ligatures w14:val="none"/>
        </w:rPr>
        <w:t>STANDARD TERMS AND CONDITIONS OF PURCHASE</w:t>
      </w:r>
      <w:r w:rsidRPr="00722A70">
        <w:rPr>
          <w:rFonts w:ascii="Arial" w:eastAsia="Times New Roman" w:hAnsi="Arial" w:cs="Arial"/>
          <w:kern w:val="0"/>
          <w:sz w:val="22"/>
          <w:szCs w:val="22"/>
          <w14:ligatures w14:val="none"/>
        </w:rPr>
        <w:t xml:space="preserve"> (“</w:t>
      </w:r>
      <w:r w:rsidR="00F759C9" w:rsidRPr="00722A70">
        <w:rPr>
          <w:rFonts w:ascii="Arial" w:eastAsia="Times New Roman" w:hAnsi="Arial" w:cs="Arial"/>
          <w:b/>
          <w:bCs/>
          <w:kern w:val="0"/>
          <w:sz w:val="22"/>
          <w:szCs w:val="22"/>
          <w14:ligatures w14:val="none"/>
        </w:rPr>
        <w:t>Terms</w:t>
      </w:r>
      <w:r w:rsidRPr="00722A70">
        <w:rPr>
          <w:rFonts w:ascii="Arial" w:eastAsia="Times New Roman" w:hAnsi="Arial" w:cs="Arial"/>
          <w:kern w:val="0"/>
          <w:sz w:val="22"/>
          <w:szCs w:val="22"/>
          <w14:ligatures w14:val="none"/>
        </w:rPr>
        <w:t xml:space="preserve">”) </w:t>
      </w:r>
      <w:r w:rsidR="008B3B56" w:rsidRPr="00722A70">
        <w:rPr>
          <w:rFonts w:ascii="Arial" w:eastAsia="Times New Roman" w:hAnsi="Arial" w:cs="Arial"/>
          <w:kern w:val="0"/>
          <w:sz w:val="22"/>
          <w:szCs w:val="22"/>
          <w14:ligatures w14:val="none"/>
        </w:rPr>
        <w:t xml:space="preserve">and any Agreement </w:t>
      </w:r>
      <w:r w:rsidRPr="00722A70">
        <w:rPr>
          <w:rFonts w:ascii="Arial" w:eastAsia="Times New Roman" w:hAnsi="Arial" w:cs="Arial"/>
          <w:kern w:val="0"/>
          <w:sz w:val="22"/>
          <w:szCs w:val="22"/>
          <w14:ligatures w14:val="none"/>
        </w:rPr>
        <w:t xml:space="preserve">entered into by and between </w:t>
      </w:r>
      <w:r w:rsidRPr="00722A70">
        <w:rPr>
          <w:rFonts w:ascii="Arial" w:eastAsia="Times New Roman" w:hAnsi="Arial" w:cs="Arial"/>
          <w:b/>
          <w:bCs/>
          <w:kern w:val="0"/>
          <w:sz w:val="22"/>
          <w:szCs w:val="22"/>
          <w14:ligatures w14:val="none"/>
        </w:rPr>
        <w:t>(Customer Legal Name)</w:t>
      </w:r>
      <w:r w:rsidRPr="00722A70">
        <w:rPr>
          <w:rFonts w:ascii="Arial" w:eastAsia="Times New Roman" w:hAnsi="Arial" w:cs="Arial"/>
          <w:kern w:val="0"/>
          <w:sz w:val="22"/>
          <w:szCs w:val="22"/>
          <w14:ligatures w14:val="none"/>
        </w:rPr>
        <w:t xml:space="preserve"> (“Customer”) and </w:t>
      </w:r>
      <w:r w:rsidRPr="00722A70">
        <w:rPr>
          <w:rFonts w:ascii="Arial" w:eastAsia="Times New Roman" w:hAnsi="Arial" w:cs="Arial"/>
          <w:b/>
          <w:bCs/>
          <w:kern w:val="0"/>
          <w:sz w:val="22"/>
          <w:szCs w:val="22"/>
          <w14:ligatures w14:val="none"/>
        </w:rPr>
        <w:t>(Supplier Legal Name)</w:t>
      </w:r>
      <w:r w:rsidRPr="00722A70">
        <w:rPr>
          <w:rFonts w:ascii="Arial" w:eastAsia="Times New Roman" w:hAnsi="Arial" w:cs="Arial"/>
          <w:kern w:val="0"/>
          <w:sz w:val="22"/>
          <w:szCs w:val="22"/>
          <w14:ligatures w14:val="none"/>
        </w:rPr>
        <w:t xml:space="preserve"> (“Supplier”).</w:t>
      </w:r>
    </w:p>
    <w:p w14:paraId="45E4F570" w14:textId="6B4090F6"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722A70">
        <w:rPr>
          <w:rFonts w:ascii="Arial" w:eastAsia="Times New Roman" w:hAnsi="Arial" w:cs="Arial"/>
          <w:b/>
          <w:bCs/>
          <w:kern w:val="0"/>
          <w:sz w:val="22"/>
          <w:szCs w:val="22"/>
          <w14:ligatures w14:val="none"/>
        </w:rPr>
        <w:t>1. PURPOSE AND SCOPE</w:t>
      </w:r>
    </w:p>
    <w:p w14:paraId="7BA89D74" w14:textId="243A141D"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1.1</w:t>
      </w:r>
      <w:r w:rsidRPr="00722A70">
        <w:rPr>
          <w:rFonts w:ascii="Arial" w:eastAsia="Times New Roman" w:hAnsi="Arial" w:cs="Arial"/>
          <w:kern w:val="0"/>
          <w:sz w:val="22"/>
          <w:szCs w:val="22"/>
          <w14:ligatures w14:val="none"/>
        </w:rPr>
        <w:t xml:space="preserve"> The purpose of this </w:t>
      </w:r>
      <w:r w:rsidR="008B3B56"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is to set out the Parties’ expectations and respective obligations regarding environmental, social, and governance (ESG) matters in connection with the performance of the Agreement.</w:t>
      </w:r>
    </w:p>
    <w:p w14:paraId="0EAD6E32" w14:textId="4C8310DA"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DF5B1C">
        <w:rPr>
          <w:rFonts w:ascii="Arial" w:eastAsia="Times New Roman" w:hAnsi="Arial" w:cs="Arial"/>
          <w:b/>
          <w:bCs/>
          <w:kern w:val="0"/>
          <w:sz w:val="22"/>
          <w:szCs w:val="22"/>
          <w14:ligatures w14:val="none"/>
        </w:rPr>
        <w:t>2. ESG LAWS AND STANDARDS COMPLIANCE</w:t>
      </w:r>
    </w:p>
    <w:p w14:paraId="49801B0B" w14:textId="390216A1" w:rsidR="00DF5B1C"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2.1</w:t>
      </w:r>
      <w:r w:rsidRPr="00722A70">
        <w:rPr>
          <w:rFonts w:ascii="Arial" w:eastAsia="Times New Roman" w:hAnsi="Arial" w:cs="Arial"/>
          <w:kern w:val="0"/>
          <w:sz w:val="22"/>
          <w:szCs w:val="22"/>
          <w14:ligatures w14:val="none"/>
        </w:rPr>
        <w:t xml:space="preserve"> Supplier shall, </w:t>
      </w:r>
      <w:proofErr w:type="gramStart"/>
      <w:r w:rsidRPr="00722A70">
        <w:rPr>
          <w:rFonts w:ascii="Arial" w:eastAsia="Times New Roman" w:hAnsi="Arial" w:cs="Arial"/>
          <w:kern w:val="0"/>
          <w:sz w:val="22"/>
          <w:szCs w:val="22"/>
          <w14:ligatures w14:val="none"/>
        </w:rPr>
        <w:t>at all times</w:t>
      </w:r>
      <w:proofErr w:type="gramEnd"/>
      <w:r w:rsidRPr="00722A70">
        <w:rPr>
          <w:rFonts w:ascii="Arial" w:eastAsia="Times New Roman" w:hAnsi="Arial" w:cs="Arial"/>
          <w:kern w:val="0"/>
          <w:sz w:val="22"/>
          <w:szCs w:val="22"/>
          <w14:ligatures w14:val="none"/>
        </w:rPr>
        <w:t xml:space="preserve"> during the Term of the Agreement, comply with all applicable environmental, social, labor, and governance laws and regulations in the jurisdictions in which it operates, including, where applicable, obligations that support Customer’s compliance with </w:t>
      </w:r>
      <w:r w:rsidR="00EB3232" w:rsidRPr="00722A70">
        <w:rPr>
          <w:rFonts w:ascii="Arial" w:eastAsia="Times New Roman" w:hAnsi="Arial" w:cs="Arial"/>
          <w:kern w:val="0"/>
          <w:sz w:val="22"/>
          <w:szCs w:val="22"/>
          <w14:ligatures w14:val="none"/>
        </w:rPr>
        <w:t xml:space="preserve">applicable reporting regulations. </w:t>
      </w:r>
      <w:r w:rsidR="00DF5B1C" w:rsidRPr="00722A70">
        <w:rPr>
          <w:rFonts w:ascii="Arial" w:eastAsia="Times New Roman" w:hAnsi="Arial" w:cs="Arial"/>
          <w:kern w:val="0"/>
          <w:sz w:val="22"/>
          <w:szCs w:val="22"/>
          <w14:ligatures w14:val="none"/>
        </w:rPr>
        <w:br/>
      </w:r>
      <w:r w:rsidRPr="00722A70">
        <w:rPr>
          <w:rFonts w:ascii="Arial" w:eastAsia="Times New Roman" w:hAnsi="Arial" w:cs="Arial"/>
          <w:kern w:val="0"/>
          <w:sz w:val="22"/>
          <w:szCs w:val="22"/>
          <w14:ligatures w14:val="none"/>
        </w:rPr>
        <w:br/>
      </w:r>
      <w:r w:rsidRPr="00722A70">
        <w:rPr>
          <w:rFonts w:ascii="Arial" w:eastAsia="Times New Roman" w:hAnsi="Arial" w:cs="Arial"/>
          <w:b/>
          <w:bCs/>
          <w:kern w:val="0"/>
          <w:sz w:val="22"/>
          <w:szCs w:val="22"/>
          <w14:ligatures w14:val="none"/>
        </w:rPr>
        <w:t>2.2</w:t>
      </w:r>
      <w:r w:rsidRPr="00722A70">
        <w:rPr>
          <w:rFonts w:ascii="Arial" w:eastAsia="Times New Roman" w:hAnsi="Arial" w:cs="Arial"/>
          <w:kern w:val="0"/>
          <w:sz w:val="22"/>
          <w:szCs w:val="22"/>
          <w14:ligatures w14:val="none"/>
        </w:rPr>
        <w:t xml:space="preserve"> Without limiting the generality of Section 2.1, Supplier shall:</w:t>
      </w:r>
    </w:p>
    <w:p w14:paraId="5EA5F8BE" w14:textId="15642DBD" w:rsidR="00DF5B1C" w:rsidRPr="00722A70" w:rsidRDefault="00E546B6" w:rsidP="00722A70">
      <w:pPr>
        <w:pStyle w:val="ListParagraph"/>
        <w:numPr>
          <w:ilvl w:val="0"/>
          <w:numId w:val="6"/>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Prohibit and actively prevent the use of forced labor, child labor, and any other labor practices in violation of internationally recognized human rights and labor standards;</w:t>
      </w:r>
      <w:r w:rsidR="00DF5B1C">
        <w:rPr>
          <w:rFonts w:ascii="Arial" w:eastAsia="Times New Roman" w:hAnsi="Arial" w:cs="Arial"/>
          <w:kern w:val="0"/>
          <w:sz w:val="22"/>
          <w:szCs w:val="22"/>
          <w14:ligatures w14:val="none"/>
        </w:rPr>
        <w:br/>
      </w:r>
    </w:p>
    <w:p w14:paraId="30C12381" w14:textId="64198F3F" w:rsidR="00DF5B1C" w:rsidRPr="00722A70" w:rsidRDefault="00E546B6" w:rsidP="00722A70">
      <w:pPr>
        <w:pStyle w:val="ListParagraph"/>
        <w:numPr>
          <w:ilvl w:val="0"/>
          <w:numId w:val="6"/>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Us</w:t>
      </w:r>
      <w:r w:rsidR="000A4DD4" w:rsidRPr="00722A70">
        <w:rPr>
          <w:rFonts w:ascii="Arial" w:eastAsia="Times New Roman" w:hAnsi="Arial" w:cs="Arial"/>
          <w:kern w:val="0"/>
          <w:sz w:val="22"/>
          <w:szCs w:val="22"/>
          <w14:ligatures w14:val="none"/>
        </w:rPr>
        <w:t xml:space="preserve">e </w:t>
      </w:r>
      <w:r w:rsidR="00525F69" w:rsidRPr="00722A70">
        <w:rPr>
          <w:rFonts w:ascii="Arial" w:eastAsia="Times New Roman" w:hAnsi="Arial" w:cs="Arial"/>
          <w:kern w:val="0"/>
          <w:sz w:val="22"/>
          <w:szCs w:val="22"/>
          <w14:ligatures w14:val="none"/>
        </w:rPr>
        <w:t xml:space="preserve">best </w:t>
      </w:r>
      <w:r w:rsidRPr="00722A70">
        <w:rPr>
          <w:rFonts w:ascii="Arial" w:eastAsia="Times New Roman" w:hAnsi="Arial" w:cs="Arial"/>
          <w:kern w:val="0"/>
          <w:sz w:val="22"/>
          <w:szCs w:val="22"/>
          <w14:ligatures w14:val="none"/>
        </w:rPr>
        <w:t>efforts to identify and mitigate adverse impacts on the environment, human rights, and worker safety throughout its operations and supply chain;</w:t>
      </w:r>
      <w:r w:rsidR="00DF5B1C">
        <w:rPr>
          <w:rFonts w:ascii="Arial" w:eastAsia="Times New Roman" w:hAnsi="Arial" w:cs="Arial"/>
          <w:kern w:val="0"/>
          <w:sz w:val="22"/>
          <w:szCs w:val="22"/>
          <w14:ligatures w14:val="none"/>
        </w:rPr>
        <w:br/>
      </w:r>
    </w:p>
    <w:p w14:paraId="604C4E21" w14:textId="6C0C75C5" w:rsidR="00DF5B1C" w:rsidRPr="00722A70" w:rsidRDefault="00E546B6" w:rsidP="00722A70">
      <w:pPr>
        <w:pStyle w:val="ListParagraph"/>
        <w:numPr>
          <w:ilvl w:val="0"/>
          <w:numId w:val="6"/>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Maintain policies, procedures, and controls reasonably designed to detect and prevent noncompliance with ESG-related obligations; and</w:t>
      </w:r>
      <w:r w:rsidR="00DF5B1C">
        <w:rPr>
          <w:rFonts w:ascii="Arial" w:eastAsia="Times New Roman" w:hAnsi="Arial" w:cs="Arial"/>
          <w:kern w:val="0"/>
          <w:sz w:val="22"/>
          <w:szCs w:val="22"/>
          <w14:ligatures w14:val="none"/>
        </w:rPr>
        <w:br/>
      </w:r>
    </w:p>
    <w:p w14:paraId="32101E1D" w14:textId="350EFB15" w:rsidR="00DF5B1C" w:rsidRDefault="00E546B6" w:rsidP="00DF5B1C">
      <w:pPr>
        <w:pStyle w:val="ListParagraph"/>
        <w:numPr>
          <w:ilvl w:val="0"/>
          <w:numId w:val="6"/>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Adopt and maintain a responsible minerals sourcing policy and due-diligence program consistent with the OECD Due Diligence Guidance.</w:t>
      </w:r>
    </w:p>
    <w:p w14:paraId="2E691BCD" w14:textId="202AF6C2" w:rsidR="00E546B6" w:rsidRPr="00722A70" w:rsidRDefault="00E546B6" w:rsidP="00DF5B1C">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2.3</w:t>
      </w:r>
      <w:r w:rsidRPr="00722A70">
        <w:rPr>
          <w:rFonts w:ascii="Arial" w:eastAsia="Times New Roman" w:hAnsi="Arial" w:cs="Arial"/>
          <w:kern w:val="0"/>
          <w:sz w:val="22"/>
          <w:szCs w:val="22"/>
          <w14:ligatures w14:val="none"/>
        </w:rPr>
        <w:t xml:space="preserve"> Supplier represents and warrants that ESG information, certifications, and disclosures provided under this </w:t>
      </w:r>
      <w:r w:rsidR="008B3B56"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 xml:space="preserve">are true, accurate, and complete in all material respects as of the date provided, and Supplier will promptly </w:t>
      </w:r>
      <w:r w:rsidR="00434DB4" w:rsidRPr="00722A70">
        <w:rPr>
          <w:rFonts w:ascii="Arial" w:eastAsia="Times New Roman" w:hAnsi="Arial" w:cs="Arial"/>
          <w:kern w:val="0"/>
          <w:sz w:val="22"/>
          <w:szCs w:val="22"/>
          <w14:ligatures w14:val="none"/>
        </w:rPr>
        <w:t xml:space="preserve">notify Customer and </w:t>
      </w:r>
      <w:r w:rsidRPr="00722A70">
        <w:rPr>
          <w:rFonts w:ascii="Arial" w:eastAsia="Times New Roman" w:hAnsi="Arial" w:cs="Arial"/>
          <w:kern w:val="0"/>
          <w:sz w:val="22"/>
          <w:szCs w:val="22"/>
          <w14:ligatures w14:val="none"/>
        </w:rPr>
        <w:t>correct any material inaccuracy upon discovery.</w:t>
      </w:r>
    </w:p>
    <w:p w14:paraId="115C64B0" w14:textId="1FAB1F48"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DF5B1C">
        <w:rPr>
          <w:rFonts w:ascii="Arial" w:eastAsia="Times New Roman" w:hAnsi="Arial" w:cs="Arial"/>
          <w:b/>
          <w:bCs/>
          <w:kern w:val="0"/>
          <w:sz w:val="22"/>
          <w:szCs w:val="22"/>
          <w14:ligatures w14:val="none"/>
        </w:rPr>
        <w:t>3. ESG INFORMATION AND REPORTING</w:t>
      </w:r>
    </w:p>
    <w:p w14:paraId="2A8CC472" w14:textId="2B4922E8" w:rsidR="00DF5B1C"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lastRenderedPageBreak/>
        <w:t>3.1</w:t>
      </w:r>
      <w:r w:rsidRPr="00722A70">
        <w:rPr>
          <w:rFonts w:ascii="Arial" w:eastAsia="Times New Roman" w:hAnsi="Arial" w:cs="Arial"/>
          <w:kern w:val="0"/>
          <w:sz w:val="22"/>
          <w:szCs w:val="22"/>
          <w14:ligatures w14:val="none"/>
        </w:rPr>
        <w:t xml:space="preserve"> Upon reasonable request of Customer, Supplier shall provide data and documentation necessary to support Customer’s reporting obligations under applicable ESG-related laws, including but not limited to:</w:t>
      </w:r>
    </w:p>
    <w:p w14:paraId="56E324CD" w14:textId="58E6CFB5" w:rsidR="00DF5B1C" w:rsidRPr="00722A70" w:rsidRDefault="00E546B6" w:rsidP="00722A70">
      <w:pPr>
        <w:pStyle w:val="ListParagraph"/>
        <w:numPr>
          <w:ilvl w:val="0"/>
          <w:numId w:val="7"/>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Greenhouse gas (GHG) emissions data related to Supplier’s operations (Scope 1 and Scope 2, and Scope 3 where applicable);</w:t>
      </w:r>
      <w:r w:rsidRPr="00722A70">
        <w:rPr>
          <w:rFonts w:ascii="Arial" w:eastAsia="Times New Roman" w:hAnsi="Arial" w:cs="Arial"/>
          <w:kern w:val="0"/>
          <w:sz w:val="22"/>
          <w:szCs w:val="22"/>
          <w14:ligatures w14:val="none"/>
        </w:rPr>
        <w:br/>
      </w:r>
    </w:p>
    <w:p w14:paraId="1A2FAB41" w14:textId="29BB2B2C" w:rsidR="00DF5B1C" w:rsidRPr="00722A70" w:rsidRDefault="00E546B6" w:rsidP="00722A70">
      <w:pPr>
        <w:pStyle w:val="ListParagraph"/>
        <w:numPr>
          <w:ilvl w:val="0"/>
          <w:numId w:val="7"/>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Product substance disclosures and certifications necessary to comply with CARB, REACH, RoHS, or equivalent regulations;</w:t>
      </w:r>
      <w:r w:rsidRPr="00722A70">
        <w:rPr>
          <w:rFonts w:ascii="Arial" w:eastAsia="Times New Roman" w:hAnsi="Arial" w:cs="Arial"/>
          <w:kern w:val="0"/>
          <w:sz w:val="22"/>
          <w:szCs w:val="22"/>
          <w14:ligatures w14:val="none"/>
        </w:rPr>
        <w:br/>
      </w:r>
    </w:p>
    <w:p w14:paraId="779EAB05" w14:textId="0C73F75A" w:rsidR="00DF5B1C" w:rsidRPr="00722A70" w:rsidRDefault="00E546B6" w:rsidP="00722A70">
      <w:pPr>
        <w:pStyle w:val="ListParagraph"/>
        <w:numPr>
          <w:ilvl w:val="0"/>
          <w:numId w:val="7"/>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Information regarding Supplier’s policies, due diligence, or audit findings related to labor rights, environmental compliance, or business ethics;</w:t>
      </w:r>
      <w:r w:rsidRPr="00722A70">
        <w:rPr>
          <w:rFonts w:ascii="Arial" w:eastAsia="Times New Roman" w:hAnsi="Arial" w:cs="Arial"/>
          <w:kern w:val="0"/>
          <w:sz w:val="22"/>
          <w:szCs w:val="22"/>
          <w14:ligatures w14:val="none"/>
        </w:rPr>
        <w:br/>
      </w:r>
    </w:p>
    <w:p w14:paraId="5E3C2BBB" w14:textId="57E4EC4B" w:rsidR="00DF5B1C" w:rsidRPr="00722A70" w:rsidRDefault="00E546B6" w:rsidP="00722A70">
      <w:pPr>
        <w:pStyle w:val="ListParagraph"/>
        <w:numPr>
          <w:ilvl w:val="0"/>
          <w:numId w:val="7"/>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Waste and circular economy data relevant to the materials or products supplied under the Agreement;</w:t>
      </w:r>
      <w:r w:rsidRPr="00722A70">
        <w:rPr>
          <w:rFonts w:ascii="Arial" w:eastAsia="Times New Roman" w:hAnsi="Arial" w:cs="Arial"/>
          <w:kern w:val="0"/>
          <w:sz w:val="22"/>
          <w:szCs w:val="22"/>
          <w14:ligatures w14:val="none"/>
        </w:rPr>
        <w:br/>
      </w:r>
    </w:p>
    <w:p w14:paraId="08835CBA" w14:textId="0449E6B8" w:rsidR="00DF5B1C" w:rsidRPr="00722A70" w:rsidRDefault="00E546B6" w:rsidP="00722A70">
      <w:pPr>
        <w:pStyle w:val="ListParagraph"/>
        <w:numPr>
          <w:ilvl w:val="0"/>
          <w:numId w:val="7"/>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Reasonable cooperation with Customer’s third-party assurance providers, consultants, or auditors in connection with ESG disclosures subject to regulatory assurance or audit requirements; and</w:t>
      </w:r>
      <w:r w:rsidRPr="00722A70">
        <w:rPr>
          <w:rFonts w:ascii="Arial" w:eastAsia="Times New Roman" w:hAnsi="Arial" w:cs="Arial"/>
          <w:kern w:val="0"/>
          <w:sz w:val="22"/>
          <w:szCs w:val="22"/>
          <w14:ligatures w14:val="none"/>
        </w:rPr>
        <w:br/>
      </w:r>
    </w:p>
    <w:p w14:paraId="314A609C" w14:textId="2224E2C8" w:rsidR="00DF5B1C" w:rsidRPr="00722A70" w:rsidRDefault="00E546B6" w:rsidP="00DF5B1C">
      <w:pPr>
        <w:pStyle w:val="ListParagraph"/>
        <w:numPr>
          <w:ilvl w:val="0"/>
          <w:numId w:val="7"/>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Responsible Minerals Initiative Conflict Minerals Reporting Template (CMRT)—or a reasonably acceptable equivalent—identifying smelters/refiners and due-diligence status.</w:t>
      </w:r>
    </w:p>
    <w:p w14:paraId="380BAD98" w14:textId="2FCCDB20" w:rsidR="00E546B6" w:rsidRPr="00722A70" w:rsidRDefault="00E546B6" w:rsidP="00DF5B1C">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 xml:space="preserve">3.2 </w:t>
      </w:r>
      <w:r w:rsidRPr="00722A70">
        <w:rPr>
          <w:rFonts w:ascii="Arial" w:eastAsia="Times New Roman" w:hAnsi="Arial" w:cs="Arial"/>
          <w:kern w:val="0"/>
          <w:sz w:val="22"/>
          <w:szCs w:val="22"/>
          <w14:ligatures w14:val="none"/>
        </w:rPr>
        <w:t xml:space="preserve">Supplier shall, to the extent practicable, provide the foregoing information timely and accurately and in the format reasonably specified by Customer. The Parties acknowledge that reporting capabilities may differ by geography and industry and will work cooperatively to resolve any practical limitations. </w:t>
      </w:r>
    </w:p>
    <w:p w14:paraId="3845A1C4" w14:textId="59F927AB"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DF5B1C">
        <w:rPr>
          <w:rFonts w:ascii="Arial" w:eastAsia="Times New Roman" w:hAnsi="Arial" w:cs="Arial"/>
          <w:b/>
          <w:bCs/>
          <w:kern w:val="0"/>
          <w:sz w:val="22"/>
          <w:szCs w:val="22"/>
          <w14:ligatures w14:val="none"/>
        </w:rPr>
        <w:t>4. AUDIT RIGHTS</w:t>
      </w:r>
    </w:p>
    <w:p w14:paraId="625BBB49" w14:textId="14B9C535"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4.1</w:t>
      </w:r>
      <w:r w:rsidRPr="00722A70">
        <w:rPr>
          <w:rFonts w:ascii="Arial" w:eastAsia="Times New Roman" w:hAnsi="Arial" w:cs="Arial"/>
          <w:kern w:val="0"/>
          <w:sz w:val="22"/>
          <w:szCs w:val="22"/>
          <w14:ligatures w14:val="none"/>
        </w:rPr>
        <w:t xml:space="preserve"> Customer and/or its authorized representatives may, upon reasonable advance written notice, request supporting documentation or conduct a coordinated review to assess Supplier’s compliance with this </w:t>
      </w:r>
      <w:r w:rsidR="00F759C9" w:rsidRPr="00722A70">
        <w:rPr>
          <w:rFonts w:ascii="Arial" w:eastAsia="Times New Roman" w:hAnsi="Arial" w:cs="Arial"/>
          <w:kern w:val="0"/>
          <w:sz w:val="22"/>
          <w:szCs w:val="22"/>
          <w14:ligatures w14:val="none"/>
        </w:rPr>
        <w:t>Attachment</w:t>
      </w:r>
      <w:r w:rsidRPr="00722A70">
        <w:rPr>
          <w:rFonts w:ascii="Arial" w:eastAsia="Times New Roman" w:hAnsi="Arial" w:cs="Arial"/>
          <w:kern w:val="0"/>
          <w:sz w:val="22"/>
          <w:szCs w:val="22"/>
          <w14:ligatures w14:val="none"/>
        </w:rPr>
        <w:t>. Where practicable, the Parties will consider remote reviews before on-site visits.</w:t>
      </w:r>
      <w:r w:rsidR="00DF5B1C" w:rsidRPr="00722A70">
        <w:rPr>
          <w:rFonts w:ascii="Arial" w:eastAsia="Times New Roman" w:hAnsi="Arial" w:cs="Arial"/>
          <w:kern w:val="0"/>
          <w:sz w:val="22"/>
          <w:szCs w:val="22"/>
          <w14:ligatures w14:val="none"/>
        </w:rPr>
        <w:br/>
      </w:r>
      <w:r w:rsidRPr="00722A70">
        <w:rPr>
          <w:rFonts w:ascii="Arial" w:eastAsia="Times New Roman" w:hAnsi="Arial" w:cs="Arial"/>
          <w:kern w:val="0"/>
          <w:sz w:val="22"/>
          <w:szCs w:val="22"/>
          <w14:ligatures w14:val="none"/>
        </w:rPr>
        <w:br/>
      </w:r>
      <w:r w:rsidRPr="00722A70">
        <w:rPr>
          <w:rFonts w:ascii="Arial" w:eastAsia="Times New Roman" w:hAnsi="Arial" w:cs="Arial"/>
          <w:b/>
          <w:bCs/>
          <w:kern w:val="0"/>
          <w:sz w:val="22"/>
          <w:szCs w:val="22"/>
          <w14:ligatures w14:val="none"/>
        </w:rPr>
        <w:t>4.2</w:t>
      </w:r>
      <w:r w:rsidRPr="00722A70">
        <w:rPr>
          <w:rFonts w:ascii="Arial" w:eastAsia="Times New Roman" w:hAnsi="Arial" w:cs="Arial"/>
          <w:kern w:val="0"/>
          <w:sz w:val="22"/>
          <w:szCs w:val="22"/>
          <w14:ligatures w14:val="none"/>
        </w:rPr>
        <w:t xml:space="preserve"> Supplier will make relevant records, documentation, or personnel reasonably available, subject to confidentiality, privilege, and data-protection obligations, to support such review.</w:t>
      </w:r>
      <w:r w:rsidR="00DF5B1C" w:rsidRPr="00722A70">
        <w:rPr>
          <w:rFonts w:ascii="Arial" w:eastAsia="Times New Roman" w:hAnsi="Arial" w:cs="Arial"/>
          <w:kern w:val="0"/>
          <w:sz w:val="22"/>
          <w:szCs w:val="22"/>
          <w14:ligatures w14:val="none"/>
        </w:rPr>
        <w:br/>
      </w:r>
      <w:r w:rsidRPr="00722A70">
        <w:rPr>
          <w:rFonts w:ascii="Arial" w:eastAsia="Times New Roman" w:hAnsi="Arial" w:cs="Arial"/>
          <w:kern w:val="0"/>
          <w:sz w:val="22"/>
          <w:szCs w:val="22"/>
          <w14:ligatures w14:val="none"/>
        </w:rPr>
        <w:br/>
      </w:r>
      <w:r w:rsidRPr="00722A70">
        <w:rPr>
          <w:rFonts w:ascii="Arial" w:eastAsia="Times New Roman" w:hAnsi="Arial" w:cs="Arial"/>
          <w:b/>
          <w:bCs/>
          <w:kern w:val="0"/>
          <w:sz w:val="22"/>
          <w:szCs w:val="22"/>
          <w14:ligatures w14:val="none"/>
        </w:rPr>
        <w:t>4.3</w:t>
      </w:r>
      <w:r w:rsidRPr="00722A70">
        <w:rPr>
          <w:rFonts w:ascii="Arial" w:eastAsia="Times New Roman" w:hAnsi="Arial" w:cs="Arial"/>
          <w:kern w:val="0"/>
          <w:sz w:val="22"/>
          <w:szCs w:val="22"/>
          <w14:ligatures w14:val="none"/>
        </w:rPr>
        <w:t xml:space="preserve"> Any such audit shall be conducted during normal business hours and in a manner that minimizes disruption to Supplier’s operations and maintains appropriate confidentiality of proprietary information.</w:t>
      </w:r>
      <w:r w:rsidR="00DF5B1C" w:rsidRPr="00722A70">
        <w:rPr>
          <w:rFonts w:ascii="Arial" w:eastAsia="Times New Roman" w:hAnsi="Arial" w:cs="Arial"/>
          <w:kern w:val="0"/>
          <w:sz w:val="22"/>
          <w:szCs w:val="22"/>
          <w14:ligatures w14:val="none"/>
        </w:rPr>
        <w:br/>
      </w:r>
      <w:r w:rsidRPr="00722A70">
        <w:rPr>
          <w:rFonts w:ascii="Arial" w:eastAsia="Times New Roman" w:hAnsi="Arial" w:cs="Arial"/>
          <w:kern w:val="0"/>
          <w:sz w:val="22"/>
          <w:szCs w:val="22"/>
          <w14:ligatures w14:val="none"/>
        </w:rPr>
        <w:br/>
      </w:r>
      <w:r w:rsidRPr="00722A70">
        <w:rPr>
          <w:rFonts w:ascii="Arial" w:eastAsia="Times New Roman" w:hAnsi="Arial" w:cs="Arial"/>
          <w:b/>
          <w:bCs/>
          <w:kern w:val="0"/>
          <w:sz w:val="22"/>
          <w:szCs w:val="22"/>
          <w14:ligatures w14:val="none"/>
        </w:rPr>
        <w:t>4.4</w:t>
      </w:r>
      <w:r w:rsidRPr="00722A70">
        <w:rPr>
          <w:rFonts w:ascii="Arial" w:eastAsia="Times New Roman" w:hAnsi="Arial" w:cs="Arial"/>
          <w:kern w:val="0"/>
          <w:sz w:val="22"/>
          <w:szCs w:val="22"/>
          <w14:ligatures w14:val="none"/>
        </w:rPr>
        <w:t xml:space="preserve"> Each Party shall process personal data and protect trade secrets obtained in connection with reviews or disclosures under this </w:t>
      </w:r>
      <w:r w:rsidR="008B3B56"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 xml:space="preserve">in accordance with applicable data-protection and confidentiality laws (including, where applicable, the GDPR and CCPA). Information obtained will be used solely for verifying compliance with this </w:t>
      </w:r>
      <w:r w:rsidR="00303D80"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or applicable law.</w:t>
      </w:r>
    </w:p>
    <w:p w14:paraId="742CCC9D" w14:textId="7C2CDBFA"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722A70">
        <w:rPr>
          <w:rFonts w:ascii="Arial" w:eastAsia="Times New Roman" w:hAnsi="Arial" w:cs="Arial"/>
          <w:b/>
          <w:bCs/>
          <w:kern w:val="0"/>
          <w:sz w:val="22"/>
          <w:szCs w:val="22"/>
          <w14:ligatures w14:val="none"/>
        </w:rPr>
        <w:lastRenderedPageBreak/>
        <w:t>5. ESG RISKS AND REMEDIATION</w:t>
      </w:r>
    </w:p>
    <w:p w14:paraId="3F0A26F3" w14:textId="4EEAAF40" w:rsidR="004E2F3E"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5.</w:t>
      </w:r>
      <w:r w:rsidR="00722A70">
        <w:rPr>
          <w:rFonts w:ascii="Arial" w:eastAsia="Times New Roman" w:hAnsi="Arial" w:cs="Arial"/>
          <w:b/>
          <w:bCs/>
          <w:kern w:val="0"/>
          <w:sz w:val="22"/>
          <w:szCs w:val="22"/>
          <w14:ligatures w14:val="none"/>
        </w:rPr>
        <w:t xml:space="preserve">1 </w:t>
      </w:r>
      <w:r w:rsidRPr="00722A70">
        <w:rPr>
          <w:rFonts w:ascii="Arial" w:eastAsia="Times New Roman" w:hAnsi="Arial" w:cs="Arial"/>
          <w:kern w:val="0"/>
          <w:sz w:val="22"/>
          <w:szCs w:val="22"/>
          <w14:ligatures w14:val="none"/>
        </w:rPr>
        <w:t>In the event that either Party identifies a material ESG-related risk connected to the products or services provided under the Agreement, the Parties shall:</w:t>
      </w:r>
    </w:p>
    <w:p w14:paraId="52A1A7CA" w14:textId="1AE3E857" w:rsidR="004E2F3E" w:rsidRDefault="00E546B6" w:rsidP="004E2F3E">
      <w:pPr>
        <w:pStyle w:val="ListParagraph"/>
        <w:numPr>
          <w:ilvl w:val="0"/>
          <w:numId w:val="9"/>
        </w:numPr>
        <w:tabs>
          <w:tab w:val="left" w:pos="720"/>
        </w:tabs>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Promptly notify the other Party in writing;</w:t>
      </w:r>
    </w:p>
    <w:p w14:paraId="3BEB5F9E" w14:textId="77777777" w:rsidR="004E2F3E" w:rsidRPr="00722A70" w:rsidRDefault="004E2F3E" w:rsidP="00722A70">
      <w:pPr>
        <w:pStyle w:val="ListParagraph"/>
        <w:tabs>
          <w:tab w:val="left" w:pos="720"/>
        </w:tabs>
        <w:spacing w:before="100" w:beforeAutospacing="1" w:after="100" w:afterAutospacing="1" w:line="240" w:lineRule="auto"/>
        <w:rPr>
          <w:rFonts w:ascii="Arial" w:eastAsia="Times New Roman" w:hAnsi="Arial" w:cs="Arial"/>
          <w:kern w:val="0"/>
          <w:sz w:val="22"/>
          <w:szCs w:val="22"/>
          <w14:ligatures w14:val="none"/>
        </w:rPr>
      </w:pPr>
    </w:p>
    <w:p w14:paraId="1B248D21" w14:textId="3C380DBC" w:rsidR="004E2F3E" w:rsidRPr="00722A70" w:rsidRDefault="00E546B6" w:rsidP="00722A70">
      <w:pPr>
        <w:pStyle w:val="ListParagraph"/>
        <w:numPr>
          <w:ilvl w:val="0"/>
          <w:numId w:val="9"/>
        </w:numPr>
        <w:tabs>
          <w:tab w:val="left" w:pos="720"/>
        </w:tabs>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Cooperate in good faith to investigate and assess the issue; and</w:t>
      </w:r>
      <w:r w:rsidR="004E2F3E">
        <w:rPr>
          <w:rFonts w:ascii="Arial" w:eastAsia="Times New Roman" w:hAnsi="Arial" w:cs="Arial"/>
          <w:kern w:val="0"/>
          <w:sz w:val="22"/>
          <w:szCs w:val="22"/>
          <w14:ligatures w14:val="none"/>
        </w:rPr>
        <w:br/>
      </w:r>
    </w:p>
    <w:p w14:paraId="7B14059A" w14:textId="6998947E" w:rsidR="004E2F3E" w:rsidRPr="00722A70" w:rsidRDefault="00E546B6" w:rsidP="00722A70">
      <w:pPr>
        <w:pStyle w:val="ListParagraph"/>
        <w:numPr>
          <w:ilvl w:val="0"/>
          <w:numId w:val="9"/>
        </w:numPr>
        <w:tabs>
          <w:tab w:val="left" w:pos="720"/>
        </w:tabs>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Develop and implement a corrective action plan within a mutually agreed timeframe, </w:t>
      </w:r>
      <w:proofErr w:type="gramStart"/>
      <w:r w:rsidRPr="00722A70">
        <w:rPr>
          <w:rFonts w:ascii="Arial" w:eastAsia="Times New Roman" w:hAnsi="Arial" w:cs="Arial"/>
          <w:kern w:val="0"/>
          <w:sz w:val="22"/>
          <w:szCs w:val="22"/>
          <w14:ligatures w14:val="none"/>
        </w:rPr>
        <w:t>taking into account</w:t>
      </w:r>
      <w:proofErr w:type="gramEnd"/>
      <w:r w:rsidRPr="00722A70">
        <w:rPr>
          <w:rFonts w:ascii="Arial" w:eastAsia="Times New Roman" w:hAnsi="Arial" w:cs="Arial"/>
          <w:kern w:val="0"/>
          <w:sz w:val="22"/>
          <w:szCs w:val="22"/>
          <w14:ligatures w14:val="none"/>
        </w:rPr>
        <w:t xml:space="preserve"> the severity of the issue, applicable regulatory requirements, and alignment with internationally recognized due-diligence frameworks (e.g., UN Guiding Principles on Business and Human Rights, OECD Guidelines).</w:t>
      </w:r>
    </w:p>
    <w:p w14:paraId="55E66EE7" w14:textId="115CD2D9" w:rsidR="004E2F3E" w:rsidRDefault="00E546B6" w:rsidP="004E2F3E">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5.2</w:t>
      </w:r>
      <w:r w:rsidR="00722A70">
        <w:rPr>
          <w:rFonts w:ascii="Arial" w:eastAsia="Times New Roman" w:hAnsi="Arial" w:cs="Arial"/>
          <w:b/>
          <w:bCs/>
          <w:kern w:val="0"/>
          <w:sz w:val="22"/>
          <w:szCs w:val="22"/>
          <w14:ligatures w14:val="none"/>
        </w:rPr>
        <w:t xml:space="preserve"> </w:t>
      </w:r>
      <w:r w:rsidR="00EB3232" w:rsidRPr="00722A70">
        <w:rPr>
          <w:rFonts w:ascii="Arial" w:eastAsia="Times New Roman" w:hAnsi="Arial" w:cs="Arial"/>
          <w:kern w:val="0"/>
          <w:sz w:val="22"/>
          <w:szCs w:val="22"/>
          <w14:ligatures w14:val="none"/>
        </w:rPr>
        <w:t>T</w:t>
      </w:r>
      <w:r w:rsidRPr="00722A70">
        <w:rPr>
          <w:rFonts w:ascii="Arial" w:eastAsia="Times New Roman" w:hAnsi="Arial" w:cs="Arial"/>
          <w:kern w:val="0"/>
          <w:sz w:val="22"/>
          <w:szCs w:val="22"/>
          <w14:ligatures w14:val="none"/>
        </w:rPr>
        <w:t>ermination of the Agreement for ESG-related noncompliance shall only occur where:</w:t>
      </w:r>
    </w:p>
    <w:p w14:paraId="02CA5167" w14:textId="284C1B61" w:rsidR="004E2F3E" w:rsidRPr="00722A70" w:rsidRDefault="00E546B6" w:rsidP="00722A70">
      <w:pPr>
        <w:pStyle w:val="ListParagraph"/>
        <w:numPr>
          <w:ilvl w:val="0"/>
          <w:numId w:val="11"/>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A material breach of this </w:t>
      </w:r>
      <w:r w:rsidR="008B3B56"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has occurred; and</w:t>
      </w:r>
      <w:r w:rsidRPr="00722A70">
        <w:rPr>
          <w:rFonts w:ascii="Arial" w:eastAsia="Times New Roman" w:hAnsi="Arial" w:cs="Arial"/>
          <w:kern w:val="0"/>
          <w:sz w:val="22"/>
          <w:szCs w:val="22"/>
          <w14:ligatures w14:val="none"/>
        </w:rPr>
        <w:br/>
      </w:r>
    </w:p>
    <w:p w14:paraId="330F7F27" w14:textId="0AC310D0" w:rsidR="00E546B6" w:rsidRPr="00722A70" w:rsidRDefault="00E546B6" w:rsidP="00722A70">
      <w:pPr>
        <w:pStyle w:val="ListParagraph"/>
        <w:numPr>
          <w:ilvl w:val="0"/>
          <w:numId w:val="11"/>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The breaching Party has failed to undertake reasonable remediation efforts following written notice and an opportunity to cure within thirty (30) days (or such longer period as may be reasonably required, subject to mutual agreement), consistent with the principles of responsible disengagement as outlined in the OECD Guidelines for Multinational Enterprises. The Parties agree to act in good faith and cooperate in identifying appropriate mitigation actions prior to termination.</w:t>
      </w:r>
    </w:p>
    <w:p w14:paraId="5E1F5015" w14:textId="4A6684A4"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722A70">
        <w:rPr>
          <w:rFonts w:ascii="Arial" w:eastAsia="Times New Roman" w:hAnsi="Arial" w:cs="Arial"/>
          <w:b/>
          <w:bCs/>
          <w:kern w:val="0"/>
          <w:sz w:val="22"/>
          <w:szCs w:val="22"/>
          <w14:ligatures w14:val="none"/>
        </w:rPr>
        <w:t>6. ESG GOVERNANCE</w:t>
      </w:r>
    </w:p>
    <w:p w14:paraId="18563922" w14:textId="760CB362" w:rsidR="004E2F3E"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6.1</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Supplier acknowledges receipt of the Supplier Third Party Code of Conduct, which is incorporated herein by reference. Supplier will take reasonable steps to align its operations and practices with the principles contained therein.</w:t>
      </w:r>
    </w:p>
    <w:p w14:paraId="6BB1ABED" w14:textId="604AB3CE" w:rsidR="004E2F3E"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6.2</w:t>
      </w:r>
      <w:r w:rsidRPr="00722A70">
        <w:rPr>
          <w:rFonts w:ascii="Arial" w:eastAsia="Times New Roman" w:hAnsi="Arial" w:cs="Arial"/>
          <w:kern w:val="0"/>
          <w:sz w:val="22"/>
          <w:szCs w:val="22"/>
          <w14:ligatures w14:val="none"/>
        </w:rPr>
        <w:t xml:space="preserve"> Supplier will maintain internal governance mechanisms reasonably designed to:</w:t>
      </w:r>
    </w:p>
    <w:p w14:paraId="6AF0C9FF" w14:textId="093DBC0B" w:rsidR="004E2F3E" w:rsidRPr="00722A70" w:rsidRDefault="00E546B6" w:rsidP="00722A70">
      <w:pPr>
        <w:pStyle w:val="ListParagraph"/>
        <w:numPr>
          <w:ilvl w:val="0"/>
          <w:numId w:val="13"/>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Promote ethical conduct and anti-corruption;</w:t>
      </w:r>
      <w:r w:rsidRPr="00722A70">
        <w:rPr>
          <w:rFonts w:ascii="Arial" w:eastAsia="Times New Roman" w:hAnsi="Arial" w:cs="Arial"/>
          <w:kern w:val="0"/>
          <w:sz w:val="22"/>
          <w:szCs w:val="22"/>
          <w14:ligatures w14:val="none"/>
        </w:rPr>
        <w:br/>
      </w:r>
    </w:p>
    <w:p w14:paraId="531270F4" w14:textId="20639511" w:rsidR="004E2F3E" w:rsidRPr="00722A70" w:rsidRDefault="00E546B6" w:rsidP="00722A70">
      <w:pPr>
        <w:pStyle w:val="ListParagraph"/>
        <w:numPr>
          <w:ilvl w:val="0"/>
          <w:numId w:val="13"/>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Ensure accuracy of ESG data and disclosures;</w:t>
      </w:r>
      <w:r w:rsidRPr="00722A70">
        <w:rPr>
          <w:rFonts w:ascii="Arial" w:eastAsia="Times New Roman" w:hAnsi="Arial" w:cs="Arial"/>
          <w:kern w:val="0"/>
          <w:sz w:val="22"/>
          <w:szCs w:val="22"/>
          <w14:ligatures w14:val="none"/>
        </w:rPr>
        <w:br/>
      </w:r>
    </w:p>
    <w:p w14:paraId="5807B72E" w14:textId="275A60F4" w:rsidR="004E2F3E" w:rsidRPr="00722A70" w:rsidRDefault="00E546B6" w:rsidP="00722A70">
      <w:pPr>
        <w:pStyle w:val="ListParagraph"/>
        <w:numPr>
          <w:ilvl w:val="0"/>
          <w:numId w:val="13"/>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Monitor compliance with applicable ESG-related obligations;</w:t>
      </w:r>
      <w:r w:rsidRPr="00722A70">
        <w:rPr>
          <w:rFonts w:ascii="Arial" w:eastAsia="Times New Roman" w:hAnsi="Arial" w:cs="Arial"/>
          <w:kern w:val="0"/>
          <w:sz w:val="22"/>
          <w:szCs w:val="22"/>
          <w14:ligatures w14:val="none"/>
        </w:rPr>
        <w:br/>
      </w:r>
    </w:p>
    <w:p w14:paraId="311E2FCF" w14:textId="514637D2" w:rsidR="004E2F3E" w:rsidRPr="00722A70" w:rsidRDefault="00E546B6" w:rsidP="00722A70">
      <w:pPr>
        <w:pStyle w:val="ListParagraph"/>
        <w:numPr>
          <w:ilvl w:val="0"/>
          <w:numId w:val="13"/>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Implement grievance or whistleblower mechanisms, where appropriate, to identify ESG concerns in its operations or supply chain; and</w:t>
      </w:r>
      <w:r w:rsidRPr="00722A70">
        <w:rPr>
          <w:rFonts w:ascii="Arial" w:eastAsia="Times New Roman" w:hAnsi="Arial" w:cs="Arial"/>
          <w:kern w:val="0"/>
          <w:sz w:val="22"/>
          <w:szCs w:val="22"/>
          <w14:ligatures w14:val="none"/>
        </w:rPr>
        <w:br/>
      </w:r>
    </w:p>
    <w:p w14:paraId="41EEC06F" w14:textId="0DD86290" w:rsidR="004E2F3E" w:rsidRPr="00722A70" w:rsidRDefault="00E546B6" w:rsidP="00722A70">
      <w:pPr>
        <w:pStyle w:val="ListParagraph"/>
        <w:numPr>
          <w:ilvl w:val="0"/>
          <w:numId w:val="13"/>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Maintain records of conflict minerals due diligence, including supplier outreach, responses, and smelter/</w:t>
      </w:r>
      <w:proofErr w:type="spellStart"/>
      <w:r w:rsidRPr="00722A70">
        <w:rPr>
          <w:rFonts w:ascii="Arial" w:eastAsia="Times New Roman" w:hAnsi="Arial" w:cs="Arial"/>
          <w:kern w:val="0"/>
          <w:sz w:val="22"/>
          <w:szCs w:val="22"/>
          <w14:ligatures w14:val="none"/>
        </w:rPr>
        <w:t>refiner</w:t>
      </w:r>
      <w:proofErr w:type="spellEnd"/>
      <w:r w:rsidRPr="00722A70">
        <w:rPr>
          <w:rFonts w:ascii="Arial" w:eastAsia="Times New Roman" w:hAnsi="Arial" w:cs="Arial"/>
          <w:kern w:val="0"/>
          <w:sz w:val="22"/>
          <w:szCs w:val="22"/>
          <w14:ligatures w14:val="none"/>
        </w:rPr>
        <w:t xml:space="preserve"> validation, in accordance with Section 7.</w:t>
      </w:r>
      <w:r w:rsidRPr="00722A70">
        <w:rPr>
          <w:rFonts w:ascii="Arial" w:eastAsia="Times New Roman" w:hAnsi="Arial" w:cs="Arial"/>
          <w:kern w:val="0"/>
          <w:sz w:val="22"/>
          <w:szCs w:val="22"/>
          <w14:ligatures w14:val="none"/>
        </w:rPr>
        <w:br/>
      </w:r>
    </w:p>
    <w:p w14:paraId="72501E73" w14:textId="54979F67"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lastRenderedPageBreak/>
        <w:t>6.3</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 xml:space="preserve">Supplier will use commercially reasonable efforts to require its own suppliers and subcontractors to comply with standards substantially </w:t>
      </w:r>
      <w:proofErr w:type="gramStart"/>
      <w:r w:rsidRPr="00722A70">
        <w:rPr>
          <w:rFonts w:ascii="Arial" w:eastAsia="Times New Roman" w:hAnsi="Arial" w:cs="Arial"/>
          <w:kern w:val="0"/>
          <w:sz w:val="22"/>
          <w:szCs w:val="22"/>
          <w14:ligatures w14:val="none"/>
        </w:rPr>
        <w:t>similar to</w:t>
      </w:r>
      <w:proofErr w:type="gramEnd"/>
      <w:r w:rsidRPr="00722A70">
        <w:rPr>
          <w:rFonts w:ascii="Arial" w:eastAsia="Times New Roman" w:hAnsi="Arial" w:cs="Arial"/>
          <w:kern w:val="0"/>
          <w:sz w:val="22"/>
          <w:szCs w:val="22"/>
          <w14:ligatures w14:val="none"/>
        </w:rPr>
        <w:t xml:space="preserve"> those set forth in this </w:t>
      </w:r>
      <w:r w:rsidR="008B3B56"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and will seek to flow down such obligations through its supply chain where feasible.</w:t>
      </w:r>
    </w:p>
    <w:p w14:paraId="06AD2667" w14:textId="7259985A"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DF5B1C">
        <w:rPr>
          <w:rFonts w:ascii="Arial" w:eastAsia="Times New Roman" w:hAnsi="Arial" w:cs="Arial"/>
          <w:b/>
          <w:bCs/>
          <w:kern w:val="0"/>
          <w:sz w:val="22"/>
          <w:szCs w:val="22"/>
          <w14:ligatures w14:val="none"/>
        </w:rPr>
        <w:t>7. SURVIVAL</w:t>
      </w:r>
    </w:p>
    <w:p w14:paraId="3BA7043A" w14:textId="57CB1852"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7.1</w:t>
      </w:r>
      <w:r w:rsidRPr="00722A70">
        <w:rPr>
          <w:rFonts w:ascii="Arial" w:eastAsia="Times New Roman" w:hAnsi="Arial" w:cs="Arial"/>
          <w:kern w:val="0"/>
          <w:sz w:val="22"/>
          <w:szCs w:val="22"/>
          <w14:ligatures w14:val="none"/>
        </w:rPr>
        <w:t xml:space="preserve"> All rights and obligations set forth in this </w:t>
      </w:r>
      <w:r w:rsidR="00F759C9"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that by their nature extend beyond the Term of the Agreement will survive for a period of three (3) years following the expiration or earlier termination of the Agreement.</w:t>
      </w:r>
    </w:p>
    <w:p w14:paraId="1159F180" w14:textId="381657D1"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722A70">
        <w:rPr>
          <w:rFonts w:ascii="Arial" w:eastAsia="Times New Roman" w:hAnsi="Arial" w:cs="Arial"/>
          <w:b/>
          <w:bCs/>
          <w:kern w:val="0"/>
          <w:sz w:val="22"/>
          <w:szCs w:val="22"/>
          <w14:ligatures w14:val="none"/>
        </w:rPr>
        <w:t>8. CONFLICT MINERALS COMPLIANCE</w:t>
      </w:r>
    </w:p>
    <w:p w14:paraId="0E130128" w14:textId="2570DCD4" w:rsidR="004E2F3E"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8.</w:t>
      </w:r>
      <w:r w:rsidR="00EB3232" w:rsidRPr="00722A70">
        <w:rPr>
          <w:rFonts w:ascii="Arial" w:eastAsia="Times New Roman" w:hAnsi="Arial" w:cs="Arial"/>
          <w:b/>
          <w:bCs/>
          <w:kern w:val="0"/>
          <w:sz w:val="22"/>
          <w:szCs w:val="22"/>
          <w14:ligatures w14:val="none"/>
        </w:rPr>
        <w:t>1</w:t>
      </w:r>
      <w:r w:rsidRPr="00722A70">
        <w:rPr>
          <w:rFonts w:ascii="Arial" w:eastAsia="Times New Roman" w:hAnsi="Arial" w:cs="Arial"/>
          <w:kern w:val="0"/>
          <w:sz w:val="22"/>
          <w:szCs w:val="22"/>
          <w14:ligatures w14:val="none"/>
        </w:rPr>
        <w:t xml:space="preserve"> Supplier will:</w:t>
      </w:r>
    </w:p>
    <w:p w14:paraId="4C8DC1B3" w14:textId="48E3C583" w:rsidR="004E2F3E" w:rsidRPr="00722A70" w:rsidRDefault="00E546B6" w:rsidP="00722A70">
      <w:pPr>
        <w:pStyle w:val="ListParagraph"/>
        <w:numPr>
          <w:ilvl w:val="0"/>
          <w:numId w:val="15"/>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Not knowingly procure Conflict Minerals that directly or indirectly finance or benefit armed groups in the Democratic Republic of the Congo or adjoining countries, or any other regions designated by applicable law;</w:t>
      </w:r>
      <w:r w:rsidRPr="00722A70">
        <w:rPr>
          <w:rFonts w:ascii="Arial" w:eastAsia="Times New Roman" w:hAnsi="Arial" w:cs="Arial"/>
          <w:kern w:val="0"/>
          <w:sz w:val="22"/>
          <w:szCs w:val="22"/>
          <w14:ligatures w14:val="none"/>
        </w:rPr>
        <w:br/>
      </w:r>
    </w:p>
    <w:p w14:paraId="58D46806" w14:textId="651D1F3C" w:rsidR="004E2F3E" w:rsidRPr="00722A70" w:rsidRDefault="00E546B6" w:rsidP="00722A70">
      <w:pPr>
        <w:pStyle w:val="ListParagraph"/>
        <w:numPr>
          <w:ilvl w:val="0"/>
          <w:numId w:val="15"/>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Implement and maintain supply-chain due-diligence processes consistent with the OECD Due Diligence Guidance for Responsible Supply Chains of Minerals from Conflict-Affected and High-Risk </w:t>
      </w:r>
      <w:proofErr w:type="gramStart"/>
      <w:r w:rsidRPr="00722A70">
        <w:rPr>
          <w:rFonts w:ascii="Arial" w:eastAsia="Times New Roman" w:hAnsi="Arial" w:cs="Arial"/>
          <w:kern w:val="0"/>
          <w:sz w:val="22"/>
          <w:szCs w:val="22"/>
          <w14:ligatures w14:val="none"/>
        </w:rPr>
        <w:t>Areas;</w:t>
      </w:r>
      <w:proofErr w:type="gramEnd"/>
    </w:p>
    <w:p w14:paraId="7704C9FE" w14:textId="2944292C" w:rsidR="004E2F3E" w:rsidRPr="00722A70" w:rsidRDefault="00E546B6" w:rsidP="00722A70">
      <w:pPr>
        <w:pStyle w:val="ListParagraph"/>
        <w:numPr>
          <w:ilvl w:val="0"/>
          <w:numId w:val="15"/>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(c) Identify and disclose to Customer, upon request, the smelters and refiners in its supply chain that process 3TG minerals contained in products supplied under this </w:t>
      </w:r>
      <w:proofErr w:type="gramStart"/>
      <w:r w:rsidRPr="00722A70">
        <w:rPr>
          <w:rFonts w:ascii="Arial" w:eastAsia="Times New Roman" w:hAnsi="Arial" w:cs="Arial"/>
          <w:kern w:val="0"/>
          <w:sz w:val="22"/>
          <w:szCs w:val="22"/>
          <w14:ligatures w14:val="none"/>
        </w:rPr>
        <w:t>Agreement;</w:t>
      </w:r>
      <w:proofErr w:type="gramEnd"/>
    </w:p>
    <w:p w14:paraId="35424EA9" w14:textId="36EC57CC" w:rsidR="004E2F3E" w:rsidRPr="00722A70" w:rsidRDefault="00E546B6" w:rsidP="00722A70">
      <w:pPr>
        <w:pStyle w:val="ListParagraph"/>
        <w:numPr>
          <w:ilvl w:val="0"/>
          <w:numId w:val="15"/>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(d) Provide timely and accurate information, upon Customer’s request, including CMRTs or a reasonably acceptable equivalent; </w:t>
      </w:r>
      <w:r w:rsidR="007E1DE7" w:rsidRPr="00722A70">
        <w:rPr>
          <w:rFonts w:ascii="Arial" w:eastAsia="Times New Roman" w:hAnsi="Arial" w:cs="Arial"/>
          <w:kern w:val="0"/>
          <w:sz w:val="22"/>
          <w:szCs w:val="22"/>
          <w14:ligatures w14:val="none"/>
        </w:rPr>
        <w:t>and</w:t>
      </w:r>
    </w:p>
    <w:p w14:paraId="203B4259" w14:textId="23F10CA5" w:rsidR="004E2F3E" w:rsidRPr="00722A70" w:rsidRDefault="00E546B6" w:rsidP="00722A70">
      <w:pPr>
        <w:pStyle w:val="ListParagraph"/>
        <w:numPr>
          <w:ilvl w:val="0"/>
          <w:numId w:val="15"/>
        </w:num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(e) Promptly notify Customer if Supplier becomes aware that any Conflict Minerals in its supply chain are not responsibly sourced</w:t>
      </w:r>
      <w:r w:rsidR="007E1DE7" w:rsidRPr="00722A70">
        <w:rPr>
          <w:rFonts w:ascii="Arial" w:eastAsia="Times New Roman" w:hAnsi="Arial" w:cs="Arial"/>
          <w:kern w:val="0"/>
          <w:sz w:val="22"/>
          <w:szCs w:val="22"/>
          <w14:ligatures w14:val="none"/>
        </w:rPr>
        <w:t>.</w:t>
      </w:r>
      <w:r w:rsidRPr="00722A70">
        <w:rPr>
          <w:rFonts w:ascii="Arial" w:eastAsia="Times New Roman" w:hAnsi="Arial" w:cs="Arial"/>
          <w:kern w:val="0"/>
          <w:sz w:val="22"/>
          <w:szCs w:val="22"/>
          <w14:ligatures w14:val="none"/>
        </w:rPr>
        <w:br/>
      </w:r>
    </w:p>
    <w:p w14:paraId="484C0FB3" w14:textId="1460D6F5" w:rsidR="006808B6"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8.</w:t>
      </w:r>
      <w:r w:rsidR="00722A70">
        <w:rPr>
          <w:rFonts w:ascii="Arial" w:eastAsia="Times New Roman" w:hAnsi="Arial" w:cs="Arial"/>
          <w:b/>
          <w:bCs/>
          <w:kern w:val="0"/>
          <w:sz w:val="22"/>
          <w:szCs w:val="22"/>
          <w14:ligatures w14:val="none"/>
        </w:rPr>
        <w:t xml:space="preserve">2 </w:t>
      </w:r>
      <w:r w:rsidRPr="00722A70">
        <w:rPr>
          <w:rFonts w:ascii="Arial" w:eastAsia="Times New Roman" w:hAnsi="Arial" w:cs="Arial"/>
          <w:kern w:val="0"/>
          <w:sz w:val="22"/>
          <w:szCs w:val="22"/>
          <w14:ligatures w14:val="none"/>
        </w:rPr>
        <w:t xml:space="preserve">Supplier will use commercially reasonable efforts to require its own suppliers and subcontractors to comply with </w:t>
      </w:r>
      <w:proofErr w:type="gramStart"/>
      <w:r w:rsidRPr="00722A70">
        <w:rPr>
          <w:rFonts w:ascii="Arial" w:eastAsia="Times New Roman" w:hAnsi="Arial" w:cs="Arial"/>
          <w:kern w:val="0"/>
          <w:sz w:val="22"/>
          <w:szCs w:val="22"/>
          <w14:ligatures w14:val="none"/>
        </w:rPr>
        <w:t>due-diligence</w:t>
      </w:r>
      <w:proofErr w:type="gramEnd"/>
      <w:r w:rsidRPr="00722A70">
        <w:rPr>
          <w:rFonts w:ascii="Arial" w:eastAsia="Times New Roman" w:hAnsi="Arial" w:cs="Arial"/>
          <w:kern w:val="0"/>
          <w:sz w:val="22"/>
          <w:szCs w:val="22"/>
          <w14:ligatures w14:val="none"/>
        </w:rPr>
        <w:t xml:space="preserve"> and reporting obligations substantially </w:t>
      </w:r>
      <w:proofErr w:type="gramStart"/>
      <w:r w:rsidRPr="00722A70">
        <w:rPr>
          <w:rFonts w:ascii="Arial" w:eastAsia="Times New Roman" w:hAnsi="Arial" w:cs="Arial"/>
          <w:kern w:val="0"/>
          <w:sz w:val="22"/>
          <w:szCs w:val="22"/>
          <w14:ligatures w14:val="none"/>
        </w:rPr>
        <w:t>similar to</w:t>
      </w:r>
      <w:proofErr w:type="gramEnd"/>
      <w:r w:rsidRPr="00722A70">
        <w:rPr>
          <w:rFonts w:ascii="Arial" w:eastAsia="Times New Roman" w:hAnsi="Arial" w:cs="Arial"/>
          <w:kern w:val="0"/>
          <w:sz w:val="22"/>
          <w:szCs w:val="22"/>
          <w14:ligatures w14:val="none"/>
        </w:rPr>
        <w:t xml:space="preserve"> those set forth in this Section and will seek to flow down such requirements through its supply chain.</w:t>
      </w:r>
    </w:p>
    <w:p w14:paraId="42927977" w14:textId="1059300D"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br/>
      </w:r>
      <w:r w:rsidRPr="00722A70">
        <w:rPr>
          <w:rFonts w:ascii="Arial" w:eastAsia="Times New Roman" w:hAnsi="Arial" w:cs="Arial"/>
          <w:b/>
          <w:bCs/>
          <w:kern w:val="0"/>
          <w:sz w:val="22"/>
          <w:szCs w:val="22"/>
          <w14:ligatures w14:val="none"/>
        </w:rPr>
        <w:t>8.</w:t>
      </w:r>
      <w:r w:rsidR="00EB3232" w:rsidRPr="00722A70">
        <w:rPr>
          <w:rFonts w:ascii="Arial" w:eastAsia="Times New Roman" w:hAnsi="Arial" w:cs="Arial"/>
          <w:b/>
          <w:bCs/>
          <w:kern w:val="0"/>
          <w:sz w:val="22"/>
          <w:szCs w:val="22"/>
          <w14:ligatures w14:val="none"/>
        </w:rPr>
        <w:t>3</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 xml:space="preserve">Customer may, upon reasonable notice, request supporting documentation to verify Supplier’s conflict-minerals due diligence. If a gap is identified, the Parties will cooperate in good faith to develop and implement a remediation plan within a mutually agreed timeframe. If Supplier does not implement agreed remediation, such failure may constitute a material breach of this </w:t>
      </w:r>
      <w:r w:rsidR="00303D80"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and result in proportionate remedies in accordance with Section 5.2.</w:t>
      </w:r>
    </w:p>
    <w:p w14:paraId="084AAC64" w14:textId="07106CD0"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722A70">
        <w:rPr>
          <w:rFonts w:ascii="Arial" w:eastAsia="Times New Roman" w:hAnsi="Arial" w:cs="Arial"/>
          <w:b/>
          <w:bCs/>
          <w:kern w:val="0"/>
          <w:sz w:val="22"/>
          <w:szCs w:val="22"/>
          <w14:ligatures w14:val="none"/>
        </w:rPr>
        <w:t>9. CHEMICALS AND PRODUCT REGULATORY COMPLIANCE</w:t>
      </w:r>
    </w:p>
    <w:p w14:paraId="3D440CBD" w14:textId="226E60BC" w:rsidR="004E2F3E" w:rsidRPr="00722A70" w:rsidRDefault="00E546B6" w:rsidP="4653A9D5">
      <w:pPr>
        <w:spacing w:before="100" w:beforeAutospacing="1" w:after="100" w:afterAutospacing="1" w:line="240" w:lineRule="auto"/>
        <w:rPr>
          <w:rFonts w:ascii="Arial" w:eastAsia="Times New Roman" w:hAnsi="Arial" w:cs="Arial"/>
          <w:b/>
          <w:bCs/>
          <w:kern w:val="0"/>
          <w:sz w:val="22"/>
          <w:szCs w:val="22"/>
          <w14:ligatures w14:val="none"/>
        </w:rPr>
      </w:pPr>
      <w:r w:rsidRPr="00722A70">
        <w:rPr>
          <w:rFonts w:ascii="Arial" w:eastAsia="Times New Roman" w:hAnsi="Arial" w:cs="Arial"/>
          <w:b/>
          <w:bCs/>
          <w:kern w:val="0"/>
          <w:sz w:val="22"/>
          <w:szCs w:val="22"/>
          <w14:ligatures w14:val="none"/>
        </w:rPr>
        <w:t>9.1</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 xml:space="preserve">Supplier will comply with applicable chemicals and product regulations, including without limitation: EU REACH (including SVHC Article 33 obligations and SCIP reporting), EU RoHS, </w:t>
      </w:r>
      <w:r w:rsidRPr="00722A70">
        <w:rPr>
          <w:rFonts w:ascii="Arial" w:eastAsia="Times New Roman" w:hAnsi="Arial" w:cs="Arial"/>
          <w:kern w:val="0"/>
          <w:sz w:val="22"/>
          <w:szCs w:val="22"/>
          <w14:ligatures w14:val="none"/>
        </w:rPr>
        <w:lastRenderedPageBreak/>
        <w:t>California Proposition 65, U.S. TSCA (including reporting obligations such as TSCA §8(a), where applicable), state or national PFAS restrictions and reporting, EU WEEE and Batteries requirements, and packaging/producer-responsibility obligations where applicable.</w:t>
      </w:r>
      <w:r w:rsidRPr="00722A70">
        <w:rPr>
          <w:rFonts w:ascii="Arial" w:eastAsia="Times New Roman" w:hAnsi="Arial" w:cs="Arial"/>
          <w:kern w:val="0"/>
          <w:sz w:val="22"/>
          <w:szCs w:val="22"/>
          <w14:ligatures w14:val="none"/>
        </w:rPr>
        <w:br/>
      </w:r>
    </w:p>
    <w:p w14:paraId="094F79CD" w14:textId="56E6EA6F" w:rsidR="004E2F3E"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9.2</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Upon Customer’s reasonable request, Supplier will provide composition or article-level information sufficient for Customer to assess, label, register, or report, and will notify Customer within ten (10) business days of any material change affecting such information.</w:t>
      </w:r>
      <w:r w:rsidRPr="00722A70">
        <w:rPr>
          <w:rFonts w:ascii="Arial" w:eastAsia="Times New Roman" w:hAnsi="Arial" w:cs="Arial"/>
          <w:kern w:val="0"/>
          <w:sz w:val="22"/>
          <w:szCs w:val="22"/>
          <w14:ligatures w14:val="none"/>
        </w:rPr>
        <w:br/>
      </w:r>
    </w:p>
    <w:p w14:paraId="5E8C5B24" w14:textId="450B79CB" w:rsidR="004E2F3E"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9.3</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Supplier will disclose, where required by applicable law, the known presence of per- and polyfluoroalkyl substances (PFAS) in products, components, or packaging supplied under this Agreement.</w:t>
      </w:r>
      <w:r w:rsidRPr="00722A70">
        <w:rPr>
          <w:rFonts w:ascii="Arial" w:eastAsia="Times New Roman" w:hAnsi="Arial" w:cs="Arial"/>
          <w:kern w:val="0"/>
          <w:sz w:val="22"/>
          <w:szCs w:val="22"/>
          <w14:ligatures w14:val="none"/>
        </w:rPr>
        <w:br/>
      </w:r>
    </w:p>
    <w:p w14:paraId="748DDA53" w14:textId="74D460BA" w:rsidR="00E546B6" w:rsidRPr="00722A70" w:rsidRDefault="00E546B6" w:rsidP="4653A9D5">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b/>
          <w:bCs/>
          <w:kern w:val="0"/>
          <w:sz w:val="22"/>
          <w:szCs w:val="22"/>
          <w14:ligatures w14:val="none"/>
        </w:rPr>
        <w:t>9.4</w:t>
      </w:r>
      <w:r w:rsidR="00722A70">
        <w:rPr>
          <w:rFonts w:ascii="Arial" w:eastAsia="Times New Roman" w:hAnsi="Arial" w:cs="Arial"/>
          <w:b/>
          <w:bCs/>
          <w:kern w:val="0"/>
          <w:sz w:val="22"/>
          <w:szCs w:val="22"/>
          <w14:ligatures w14:val="none"/>
        </w:rPr>
        <w:t xml:space="preserve"> </w:t>
      </w:r>
      <w:r w:rsidRPr="00722A70">
        <w:rPr>
          <w:rFonts w:ascii="Arial" w:eastAsia="Times New Roman" w:hAnsi="Arial" w:cs="Arial"/>
          <w:kern w:val="0"/>
          <w:sz w:val="22"/>
          <w:szCs w:val="22"/>
          <w14:ligatures w14:val="none"/>
        </w:rPr>
        <w:t>Supplier will use commercially reasonable efforts to require sub-suppliers to provide information necessary to meet the obligations in this Section.</w:t>
      </w:r>
    </w:p>
    <w:p w14:paraId="078692E0" w14:textId="24D88F45" w:rsidR="00E546B6" w:rsidRPr="00722A70" w:rsidRDefault="00DF5B1C" w:rsidP="187B0204">
      <w:pPr>
        <w:spacing w:before="100" w:beforeAutospacing="1" w:after="100" w:afterAutospacing="1" w:line="240" w:lineRule="auto"/>
        <w:outlineLvl w:val="2"/>
        <w:rPr>
          <w:rFonts w:ascii="Arial" w:eastAsia="Times New Roman" w:hAnsi="Arial" w:cs="Arial"/>
          <w:b/>
          <w:bCs/>
          <w:kern w:val="0"/>
          <w:sz w:val="22"/>
          <w:szCs w:val="22"/>
          <w14:ligatures w14:val="none"/>
        </w:rPr>
      </w:pPr>
      <w:r w:rsidRPr="00DF5B1C">
        <w:rPr>
          <w:rFonts w:ascii="Arial" w:eastAsia="Times New Roman" w:hAnsi="Arial" w:cs="Arial"/>
          <w:b/>
          <w:bCs/>
          <w:kern w:val="0"/>
          <w:sz w:val="22"/>
          <w:szCs w:val="22"/>
          <w14:ligatures w14:val="none"/>
        </w:rPr>
        <w:t>10. ORDER OF PRECEDENCE (ESG MATTERS)</w:t>
      </w:r>
    </w:p>
    <w:p w14:paraId="50BD4675" w14:textId="575CE7D8" w:rsidR="00E546B6" w:rsidRPr="00722A70" w:rsidRDefault="00E546B6" w:rsidP="187B0204">
      <w:pPr>
        <w:spacing w:before="100" w:beforeAutospacing="1" w:after="100" w:afterAutospacing="1" w:line="240" w:lineRule="auto"/>
        <w:rPr>
          <w:rFonts w:ascii="Arial" w:eastAsia="Times New Roman" w:hAnsi="Arial" w:cs="Arial"/>
          <w:kern w:val="0"/>
          <w:sz w:val="22"/>
          <w:szCs w:val="22"/>
          <w14:ligatures w14:val="none"/>
        </w:rPr>
      </w:pPr>
      <w:r w:rsidRPr="00722A70">
        <w:rPr>
          <w:rFonts w:ascii="Arial" w:eastAsia="Times New Roman" w:hAnsi="Arial" w:cs="Arial"/>
          <w:kern w:val="0"/>
          <w:sz w:val="22"/>
          <w:szCs w:val="22"/>
          <w14:ligatures w14:val="none"/>
        </w:rPr>
        <w:t xml:space="preserve">If a conflict arises between this </w:t>
      </w:r>
      <w:r w:rsidR="00F759C9"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 xml:space="preserve">and any other provision of the Agreement with respect to ESG matters, this </w:t>
      </w:r>
      <w:r w:rsidR="00F759C9" w:rsidRPr="00722A70">
        <w:rPr>
          <w:rFonts w:ascii="Arial" w:eastAsia="Times New Roman" w:hAnsi="Arial" w:cs="Arial"/>
          <w:kern w:val="0"/>
          <w:sz w:val="22"/>
          <w:szCs w:val="22"/>
          <w14:ligatures w14:val="none"/>
        </w:rPr>
        <w:t xml:space="preserve">Attachment </w:t>
      </w:r>
      <w:r w:rsidRPr="00722A70">
        <w:rPr>
          <w:rFonts w:ascii="Arial" w:eastAsia="Times New Roman" w:hAnsi="Arial" w:cs="Arial"/>
          <w:kern w:val="0"/>
          <w:sz w:val="22"/>
          <w:szCs w:val="22"/>
          <w14:ligatures w14:val="none"/>
        </w:rPr>
        <w:t>will prevail.</w:t>
      </w:r>
    </w:p>
    <w:p w14:paraId="7BB7AA98" w14:textId="77777777" w:rsidR="00B465BC" w:rsidRPr="00722A70" w:rsidRDefault="00B465BC" w:rsidP="00B465BC">
      <w:pPr>
        <w:spacing w:before="120" w:after="120" w:line="240" w:lineRule="auto"/>
        <w:jc w:val="center"/>
        <w:outlineLvl w:val="0"/>
        <w:rPr>
          <w:rFonts w:ascii="Arial" w:eastAsia="Times New Roman" w:hAnsi="Arial" w:cs="Arial"/>
          <w:kern w:val="0"/>
          <w:sz w:val="22"/>
          <w:szCs w:val="22"/>
          <w14:ligatures w14:val="none"/>
        </w:rPr>
      </w:pPr>
    </w:p>
    <w:p w14:paraId="4C05F3FD" w14:textId="77777777" w:rsidR="00852CD1" w:rsidRPr="00722A70" w:rsidRDefault="00852CD1">
      <w:pPr>
        <w:spacing w:before="120" w:after="120" w:line="240" w:lineRule="auto"/>
        <w:jc w:val="center"/>
        <w:outlineLvl w:val="0"/>
        <w:rPr>
          <w:rFonts w:ascii="Arial" w:eastAsia="Times New Roman" w:hAnsi="Arial" w:cs="Arial"/>
          <w:kern w:val="0"/>
          <w:sz w:val="22"/>
          <w:szCs w:val="22"/>
          <w14:ligatures w14:val="none"/>
        </w:rPr>
      </w:pPr>
    </w:p>
    <w:sectPr w:rsidR="00852CD1" w:rsidRPr="00722A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186E" w14:textId="77777777" w:rsidR="00DE239B" w:rsidRDefault="00DE239B" w:rsidP="00303D80">
      <w:pPr>
        <w:spacing w:after="0" w:line="240" w:lineRule="auto"/>
      </w:pPr>
      <w:r>
        <w:separator/>
      </w:r>
    </w:p>
  </w:endnote>
  <w:endnote w:type="continuationSeparator" w:id="0">
    <w:p w14:paraId="50239607" w14:textId="77777777" w:rsidR="00DE239B" w:rsidRDefault="00DE239B" w:rsidP="0030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465" w14:textId="77777777" w:rsidR="00EA7BB9" w:rsidRPr="00C053FA" w:rsidRDefault="00EA7BB9" w:rsidP="00EA7BB9">
    <w:pPr>
      <w:pStyle w:val="Footer"/>
      <w:jc w:val="right"/>
      <w:rPr>
        <w:rFonts w:ascii="Arial" w:hAnsi="Arial" w:cs="Arial"/>
        <w:color w:val="0F4C9C"/>
        <w:sz w:val="20"/>
        <w:szCs w:val="20"/>
      </w:rPr>
    </w:pPr>
    <w:r w:rsidRPr="4653A9D5">
      <w:rPr>
        <w:rFonts w:ascii="Arial" w:hAnsi="Arial" w:cs="Arial"/>
        <w:color w:val="0F4C9C"/>
        <w:sz w:val="20"/>
        <w:szCs w:val="20"/>
      </w:rPr>
      <w:fldChar w:fldCharType="begin"/>
    </w:r>
    <w:r w:rsidRPr="4653A9D5">
      <w:rPr>
        <w:rFonts w:ascii="Arial" w:hAnsi="Arial" w:cs="Arial"/>
        <w:color w:val="0F4C9C"/>
        <w:sz w:val="20"/>
        <w:szCs w:val="20"/>
      </w:rPr>
      <w:instrText>PAGE</w:instrText>
    </w:r>
    <w:r w:rsidRPr="4653A9D5">
      <w:rPr>
        <w:rFonts w:ascii="Arial" w:hAnsi="Arial" w:cs="Arial"/>
        <w:color w:val="0F4C9C"/>
        <w:sz w:val="20"/>
        <w:szCs w:val="20"/>
      </w:rPr>
      <w:fldChar w:fldCharType="separate"/>
    </w:r>
    <w:r w:rsidR="4653A9D5" w:rsidRPr="4653A9D5">
      <w:rPr>
        <w:rFonts w:ascii="Arial" w:hAnsi="Arial" w:cs="Arial"/>
        <w:color w:val="0F4C9C"/>
        <w:sz w:val="20"/>
        <w:szCs w:val="20"/>
      </w:rPr>
      <w:t>1</w:t>
    </w:r>
    <w:r w:rsidRPr="4653A9D5">
      <w:rPr>
        <w:rFonts w:ascii="Arial" w:hAnsi="Arial" w:cs="Arial"/>
        <w:color w:val="0F4C9C"/>
        <w:sz w:val="20"/>
        <w:szCs w:val="20"/>
      </w:rPr>
      <w:fldChar w:fldCharType="end"/>
    </w:r>
  </w:p>
  <w:p w14:paraId="73C09AB9" w14:textId="57155903" w:rsidR="00EA7BB9" w:rsidRPr="007D6E84" w:rsidRDefault="4653A9D5" w:rsidP="4653A9D5">
    <w:pPr>
      <w:jc w:val="center"/>
      <w:rPr>
        <w:rFonts w:ascii="Arial" w:eastAsia="Arial" w:hAnsi="Arial" w:cs="Arial"/>
        <w:color w:val="0F4C9C"/>
      </w:rPr>
    </w:pPr>
    <w:r w:rsidRPr="4653A9D5">
      <w:rPr>
        <w:rFonts w:ascii="Arial" w:eastAsia="Arial" w:hAnsi="Arial" w:cs="Arial"/>
        <w:color w:val="0F4C9C"/>
        <w:sz w:val="22"/>
        <w:szCs w:val="22"/>
      </w:rPr>
      <w:t>Walter Kidde Portable Equipment, LLC.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887A" w14:textId="77777777" w:rsidR="00DE239B" w:rsidRDefault="00DE239B" w:rsidP="00303D80">
      <w:pPr>
        <w:spacing w:after="0" w:line="240" w:lineRule="auto"/>
      </w:pPr>
      <w:r>
        <w:separator/>
      </w:r>
    </w:p>
  </w:footnote>
  <w:footnote w:type="continuationSeparator" w:id="0">
    <w:p w14:paraId="1AC2D747" w14:textId="77777777" w:rsidR="00DE239B" w:rsidRDefault="00DE239B" w:rsidP="00303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E266" w14:textId="717EE01E" w:rsidR="00303D80" w:rsidRPr="00722A70" w:rsidRDefault="00116EAD" w:rsidP="00722A70">
    <w:pPr>
      <w:tabs>
        <w:tab w:val="left" w:pos="7020"/>
      </w:tabs>
      <w:ind w:left="-720"/>
      <w:jc w:val="both"/>
      <w:rPr>
        <w:rFonts w:ascii="Arial" w:eastAsia="Arial" w:hAnsi="Arial"/>
        <w:color w:val="000000"/>
        <w:sz w:val="20"/>
        <w:szCs w:val="20"/>
      </w:rPr>
    </w:pPr>
    <w:r w:rsidRPr="005D6B71">
      <w:rPr>
        <w:noProof/>
      </w:rPr>
      <w:drawing>
        <wp:inline distT="0" distB="0" distL="0" distR="0" wp14:anchorId="00ECA4E0" wp14:editId="117DD628">
          <wp:extent cx="1757238" cy="750125"/>
          <wp:effectExtent l="0" t="0" r="6350" b="0"/>
          <wp:docPr id="46831713" name="Picture 1742286959"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286959" descr="A black and red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7238" cy="750125"/>
                  </a:xfrm>
                  <a:prstGeom prst="rect">
                    <a:avLst/>
                  </a:prstGeom>
                  <a:noFill/>
                  <a:ln>
                    <a:noFill/>
                  </a:ln>
                </pic:spPr>
              </pic:pic>
            </a:graphicData>
          </a:graphic>
        </wp:inline>
      </w:drawing>
    </w:r>
  </w:p>
  <w:p w14:paraId="4E118AED" w14:textId="77777777" w:rsidR="00303D80" w:rsidRDefault="00303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66A"/>
    <w:multiLevelType w:val="multilevel"/>
    <w:tmpl w:val="1FB6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456D4"/>
    <w:multiLevelType w:val="hybridMultilevel"/>
    <w:tmpl w:val="72D0035A"/>
    <w:lvl w:ilvl="0" w:tplc="91166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61E2B"/>
    <w:multiLevelType w:val="hybridMultilevel"/>
    <w:tmpl w:val="FA449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43EE7"/>
    <w:multiLevelType w:val="hybridMultilevel"/>
    <w:tmpl w:val="C02C0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0058E"/>
    <w:multiLevelType w:val="hybridMultilevel"/>
    <w:tmpl w:val="848EA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45EA1"/>
    <w:multiLevelType w:val="hybridMultilevel"/>
    <w:tmpl w:val="CC1CC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917A4"/>
    <w:multiLevelType w:val="hybridMultilevel"/>
    <w:tmpl w:val="3212330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8672C2"/>
    <w:multiLevelType w:val="hybridMultilevel"/>
    <w:tmpl w:val="9C9C7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74118"/>
    <w:multiLevelType w:val="hybridMultilevel"/>
    <w:tmpl w:val="F8FC9D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C76AB"/>
    <w:multiLevelType w:val="hybridMultilevel"/>
    <w:tmpl w:val="58981136"/>
    <w:lvl w:ilvl="0" w:tplc="2DC8A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106FE"/>
    <w:multiLevelType w:val="hybridMultilevel"/>
    <w:tmpl w:val="F40AD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61E5E"/>
    <w:multiLevelType w:val="hybridMultilevel"/>
    <w:tmpl w:val="B1941CCE"/>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9594F"/>
    <w:multiLevelType w:val="multilevel"/>
    <w:tmpl w:val="9A182066"/>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273EDD"/>
    <w:multiLevelType w:val="hybridMultilevel"/>
    <w:tmpl w:val="17DCBD64"/>
    <w:lvl w:ilvl="0" w:tplc="EC94A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E7198"/>
    <w:multiLevelType w:val="hybridMultilevel"/>
    <w:tmpl w:val="49A01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137F6"/>
    <w:multiLevelType w:val="multilevel"/>
    <w:tmpl w:val="249C018E"/>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8891579">
    <w:abstractNumId w:val="11"/>
  </w:num>
  <w:num w:numId="2" w16cid:durableId="1036391081">
    <w:abstractNumId w:val="12"/>
  </w:num>
  <w:num w:numId="3" w16cid:durableId="513344127">
    <w:abstractNumId w:val="0"/>
  </w:num>
  <w:num w:numId="4" w16cid:durableId="1022390458">
    <w:abstractNumId w:val="15"/>
  </w:num>
  <w:num w:numId="5" w16cid:durableId="903876402">
    <w:abstractNumId w:val="2"/>
  </w:num>
  <w:num w:numId="6" w16cid:durableId="2057510789">
    <w:abstractNumId w:val="14"/>
  </w:num>
  <w:num w:numId="7" w16cid:durableId="1668513535">
    <w:abstractNumId w:val="10"/>
  </w:num>
  <w:num w:numId="8" w16cid:durableId="147870832">
    <w:abstractNumId w:val="9"/>
  </w:num>
  <w:num w:numId="9" w16cid:durableId="1577395744">
    <w:abstractNumId w:val="7"/>
  </w:num>
  <w:num w:numId="10" w16cid:durableId="324552005">
    <w:abstractNumId w:val="6"/>
  </w:num>
  <w:num w:numId="11" w16cid:durableId="850342382">
    <w:abstractNumId w:val="8"/>
  </w:num>
  <w:num w:numId="12" w16cid:durableId="2130471508">
    <w:abstractNumId w:val="13"/>
  </w:num>
  <w:num w:numId="13" w16cid:durableId="833498305">
    <w:abstractNumId w:val="4"/>
  </w:num>
  <w:num w:numId="14" w16cid:durableId="2073917009">
    <w:abstractNumId w:val="1"/>
  </w:num>
  <w:num w:numId="15" w16cid:durableId="160967569">
    <w:abstractNumId w:val="3"/>
  </w:num>
  <w:num w:numId="16" w16cid:durableId="1870144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B9"/>
    <w:rsid w:val="00017B71"/>
    <w:rsid w:val="00062439"/>
    <w:rsid w:val="00067EF1"/>
    <w:rsid w:val="00067F03"/>
    <w:rsid w:val="00085405"/>
    <w:rsid w:val="00087CD2"/>
    <w:rsid w:val="0009755B"/>
    <w:rsid w:val="000A4DD4"/>
    <w:rsid w:val="000A6378"/>
    <w:rsid w:val="000E5C90"/>
    <w:rsid w:val="000F35E9"/>
    <w:rsid w:val="00116EAD"/>
    <w:rsid w:val="00123382"/>
    <w:rsid w:val="00123E4A"/>
    <w:rsid w:val="00136E8A"/>
    <w:rsid w:val="001507FC"/>
    <w:rsid w:val="001600A0"/>
    <w:rsid w:val="00165A4C"/>
    <w:rsid w:val="001844C5"/>
    <w:rsid w:val="00205440"/>
    <w:rsid w:val="00214A6F"/>
    <w:rsid w:val="002237B9"/>
    <w:rsid w:val="0027227C"/>
    <w:rsid w:val="002831D7"/>
    <w:rsid w:val="002D4C9C"/>
    <w:rsid w:val="002D56C5"/>
    <w:rsid w:val="00303D80"/>
    <w:rsid w:val="00344C30"/>
    <w:rsid w:val="003D61B4"/>
    <w:rsid w:val="004247F2"/>
    <w:rsid w:val="00434DB4"/>
    <w:rsid w:val="00482A41"/>
    <w:rsid w:val="00486990"/>
    <w:rsid w:val="004B357C"/>
    <w:rsid w:val="004E2F3E"/>
    <w:rsid w:val="00511692"/>
    <w:rsid w:val="00513343"/>
    <w:rsid w:val="00525F69"/>
    <w:rsid w:val="00546AAD"/>
    <w:rsid w:val="00585DC5"/>
    <w:rsid w:val="006368C4"/>
    <w:rsid w:val="006706CF"/>
    <w:rsid w:val="00670E1A"/>
    <w:rsid w:val="0067640A"/>
    <w:rsid w:val="006808B6"/>
    <w:rsid w:val="0069414B"/>
    <w:rsid w:val="006D4258"/>
    <w:rsid w:val="006D6B81"/>
    <w:rsid w:val="007021A8"/>
    <w:rsid w:val="00722A70"/>
    <w:rsid w:val="00746227"/>
    <w:rsid w:val="007D6E84"/>
    <w:rsid w:val="007E1DE7"/>
    <w:rsid w:val="008223E9"/>
    <w:rsid w:val="00852CD1"/>
    <w:rsid w:val="00882F02"/>
    <w:rsid w:val="008A4A5B"/>
    <w:rsid w:val="008B3B56"/>
    <w:rsid w:val="008F24C6"/>
    <w:rsid w:val="009B4202"/>
    <w:rsid w:val="009D523D"/>
    <w:rsid w:val="00A0362E"/>
    <w:rsid w:val="00A91958"/>
    <w:rsid w:val="00AA02E5"/>
    <w:rsid w:val="00AA3693"/>
    <w:rsid w:val="00AB6A96"/>
    <w:rsid w:val="00AD7E8D"/>
    <w:rsid w:val="00B465BC"/>
    <w:rsid w:val="00B84A71"/>
    <w:rsid w:val="00BA125B"/>
    <w:rsid w:val="00BB1BC4"/>
    <w:rsid w:val="00C26DFE"/>
    <w:rsid w:val="00C75D85"/>
    <w:rsid w:val="00C8492B"/>
    <w:rsid w:val="00C875FA"/>
    <w:rsid w:val="00CB5BD1"/>
    <w:rsid w:val="00CC0592"/>
    <w:rsid w:val="00D31D9B"/>
    <w:rsid w:val="00D334BB"/>
    <w:rsid w:val="00D574BA"/>
    <w:rsid w:val="00DE239B"/>
    <w:rsid w:val="00DF5B1C"/>
    <w:rsid w:val="00E13AE3"/>
    <w:rsid w:val="00E46D05"/>
    <w:rsid w:val="00E546B6"/>
    <w:rsid w:val="00E86B12"/>
    <w:rsid w:val="00EA3E98"/>
    <w:rsid w:val="00EA7BB9"/>
    <w:rsid w:val="00EB3232"/>
    <w:rsid w:val="00ED68AB"/>
    <w:rsid w:val="00F759C9"/>
    <w:rsid w:val="00FA20FB"/>
    <w:rsid w:val="00FA2E1C"/>
    <w:rsid w:val="00FD573F"/>
    <w:rsid w:val="00FF202B"/>
    <w:rsid w:val="187B0204"/>
    <w:rsid w:val="4653A9D5"/>
    <w:rsid w:val="6268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97F9"/>
  <w15:chartTrackingRefBased/>
  <w15:docId w15:val="{AC541D4C-B2B8-4A4A-8E02-21D31679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B9"/>
  </w:style>
  <w:style w:type="paragraph" w:styleId="Heading1">
    <w:name w:val="heading 1"/>
    <w:basedOn w:val="Normal"/>
    <w:next w:val="Normal"/>
    <w:link w:val="Heading1Char"/>
    <w:uiPriority w:val="9"/>
    <w:qFormat/>
    <w:rsid w:val="00223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3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23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23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3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23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23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7B9"/>
    <w:rPr>
      <w:rFonts w:eastAsiaTheme="majorEastAsia" w:cstheme="majorBidi"/>
      <w:color w:val="272727" w:themeColor="text1" w:themeTint="D8"/>
    </w:rPr>
  </w:style>
  <w:style w:type="paragraph" w:styleId="Title">
    <w:name w:val="Title"/>
    <w:basedOn w:val="Normal"/>
    <w:next w:val="Normal"/>
    <w:link w:val="TitleChar"/>
    <w:uiPriority w:val="10"/>
    <w:qFormat/>
    <w:rsid w:val="00223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7B9"/>
    <w:pPr>
      <w:spacing w:before="160"/>
      <w:jc w:val="center"/>
    </w:pPr>
    <w:rPr>
      <w:i/>
      <w:iCs/>
      <w:color w:val="404040" w:themeColor="text1" w:themeTint="BF"/>
    </w:rPr>
  </w:style>
  <w:style w:type="character" w:customStyle="1" w:styleId="QuoteChar">
    <w:name w:val="Quote Char"/>
    <w:basedOn w:val="DefaultParagraphFont"/>
    <w:link w:val="Quote"/>
    <w:uiPriority w:val="29"/>
    <w:rsid w:val="002237B9"/>
    <w:rPr>
      <w:i/>
      <w:iCs/>
      <w:color w:val="404040" w:themeColor="text1" w:themeTint="BF"/>
    </w:rPr>
  </w:style>
  <w:style w:type="paragraph" w:styleId="ListParagraph">
    <w:name w:val="List Paragraph"/>
    <w:basedOn w:val="Normal"/>
    <w:uiPriority w:val="34"/>
    <w:qFormat/>
    <w:rsid w:val="002237B9"/>
    <w:pPr>
      <w:ind w:left="720"/>
      <w:contextualSpacing/>
    </w:pPr>
  </w:style>
  <w:style w:type="character" w:styleId="IntenseEmphasis">
    <w:name w:val="Intense Emphasis"/>
    <w:basedOn w:val="DefaultParagraphFont"/>
    <w:uiPriority w:val="21"/>
    <w:qFormat/>
    <w:rsid w:val="002237B9"/>
    <w:rPr>
      <w:i/>
      <w:iCs/>
      <w:color w:val="0F4761" w:themeColor="accent1" w:themeShade="BF"/>
    </w:rPr>
  </w:style>
  <w:style w:type="paragraph" w:styleId="IntenseQuote">
    <w:name w:val="Intense Quote"/>
    <w:basedOn w:val="Normal"/>
    <w:next w:val="Normal"/>
    <w:link w:val="IntenseQuoteChar"/>
    <w:uiPriority w:val="30"/>
    <w:qFormat/>
    <w:rsid w:val="00223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7B9"/>
    <w:rPr>
      <w:i/>
      <w:iCs/>
      <w:color w:val="0F4761" w:themeColor="accent1" w:themeShade="BF"/>
    </w:rPr>
  </w:style>
  <w:style w:type="character" w:styleId="IntenseReference">
    <w:name w:val="Intense Reference"/>
    <w:basedOn w:val="DefaultParagraphFont"/>
    <w:uiPriority w:val="32"/>
    <w:qFormat/>
    <w:rsid w:val="002237B9"/>
    <w:rPr>
      <w:b/>
      <w:bCs/>
      <w:smallCaps/>
      <w:color w:val="0F4761" w:themeColor="accent1" w:themeShade="BF"/>
      <w:spacing w:val="5"/>
    </w:rPr>
  </w:style>
  <w:style w:type="paragraph" w:styleId="NormalWeb">
    <w:name w:val="Normal (Web)"/>
    <w:basedOn w:val="Normal"/>
    <w:uiPriority w:val="99"/>
    <w:semiHidden/>
    <w:unhideWhenUsed/>
    <w:rsid w:val="00D334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34BB"/>
    <w:rPr>
      <w:b/>
      <w:bCs/>
    </w:rPr>
  </w:style>
  <w:style w:type="character" w:customStyle="1" w:styleId="flex">
    <w:name w:val="flex"/>
    <w:basedOn w:val="DefaultParagraphFont"/>
    <w:rsid w:val="00B465BC"/>
  </w:style>
  <w:style w:type="character" w:styleId="CommentReference">
    <w:name w:val="annotation reference"/>
    <w:basedOn w:val="DefaultParagraphFont"/>
    <w:uiPriority w:val="99"/>
    <w:semiHidden/>
    <w:unhideWhenUsed/>
    <w:rsid w:val="00434DB4"/>
    <w:rPr>
      <w:sz w:val="16"/>
      <w:szCs w:val="16"/>
    </w:rPr>
  </w:style>
  <w:style w:type="paragraph" w:styleId="CommentText">
    <w:name w:val="annotation text"/>
    <w:basedOn w:val="Normal"/>
    <w:link w:val="CommentTextChar"/>
    <w:uiPriority w:val="99"/>
    <w:unhideWhenUsed/>
    <w:rsid w:val="00434DB4"/>
    <w:pPr>
      <w:spacing w:line="240" w:lineRule="auto"/>
    </w:pPr>
    <w:rPr>
      <w:sz w:val="20"/>
      <w:szCs w:val="20"/>
    </w:rPr>
  </w:style>
  <w:style w:type="character" w:customStyle="1" w:styleId="CommentTextChar">
    <w:name w:val="Comment Text Char"/>
    <w:basedOn w:val="DefaultParagraphFont"/>
    <w:link w:val="CommentText"/>
    <w:uiPriority w:val="99"/>
    <w:rsid w:val="00434DB4"/>
    <w:rPr>
      <w:sz w:val="20"/>
      <w:szCs w:val="20"/>
    </w:rPr>
  </w:style>
  <w:style w:type="paragraph" w:styleId="CommentSubject">
    <w:name w:val="annotation subject"/>
    <w:basedOn w:val="CommentText"/>
    <w:next w:val="CommentText"/>
    <w:link w:val="CommentSubjectChar"/>
    <w:uiPriority w:val="99"/>
    <w:semiHidden/>
    <w:unhideWhenUsed/>
    <w:rsid w:val="00434DB4"/>
    <w:rPr>
      <w:b/>
      <w:bCs/>
    </w:rPr>
  </w:style>
  <w:style w:type="character" w:customStyle="1" w:styleId="CommentSubjectChar">
    <w:name w:val="Comment Subject Char"/>
    <w:basedOn w:val="CommentTextChar"/>
    <w:link w:val="CommentSubject"/>
    <w:uiPriority w:val="99"/>
    <w:semiHidden/>
    <w:rsid w:val="00434DB4"/>
    <w:rPr>
      <w:b/>
      <w:bCs/>
      <w:sz w:val="20"/>
      <w:szCs w:val="20"/>
    </w:rPr>
  </w:style>
  <w:style w:type="paragraph" w:styleId="Revision">
    <w:name w:val="Revision"/>
    <w:hidden/>
    <w:uiPriority w:val="99"/>
    <w:semiHidden/>
    <w:rsid w:val="00434DB4"/>
    <w:pPr>
      <w:spacing w:after="0" w:line="240" w:lineRule="auto"/>
    </w:pPr>
  </w:style>
  <w:style w:type="paragraph" w:styleId="Header">
    <w:name w:val="header"/>
    <w:basedOn w:val="Normal"/>
    <w:link w:val="HeaderChar"/>
    <w:uiPriority w:val="99"/>
    <w:unhideWhenUsed/>
    <w:rsid w:val="0030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D80"/>
  </w:style>
  <w:style w:type="paragraph" w:styleId="Footer">
    <w:name w:val="footer"/>
    <w:basedOn w:val="Normal"/>
    <w:link w:val="FooterChar"/>
    <w:uiPriority w:val="99"/>
    <w:unhideWhenUsed/>
    <w:rsid w:val="0030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000">
      <w:bodyDiv w:val="1"/>
      <w:marLeft w:val="0"/>
      <w:marRight w:val="0"/>
      <w:marTop w:val="0"/>
      <w:marBottom w:val="0"/>
      <w:divBdr>
        <w:top w:val="none" w:sz="0" w:space="0" w:color="auto"/>
        <w:left w:val="none" w:sz="0" w:space="0" w:color="auto"/>
        <w:bottom w:val="none" w:sz="0" w:space="0" w:color="auto"/>
        <w:right w:val="none" w:sz="0" w:space="0" w:color="auto"/>
      </w:divBdr>
      <w:divsChild>
        <w:div w:id="713118969">
          <w:marLeft w:val="0"/>
          <w:marRight w:val="0"/>
          <w:marTop w:val="0"/>
          <w:marBottom w:val="0"/>
          <w:divBdr>
            <w:top w:val="none" w:sz="0" w:space="0" w:color="auto"/>
            <w:left w:val="none" w:sz="0" w:space="0" w:color="auto"/>
            <w:bottom w:val="none" w:sz="0" w:space="0" w:color="auto"/>
            <w:right w:val="none" w:sz="0" w:space="0" w:color="auto"/>
          </w:divBdr>
          <w:divsChild>
            <w:div w:id="1086421772">
              <w:marLeft w:val="0"/>
              <w:marRight w:val="0"/>
              <w:marTop w:val="0"/>
              <w:marBottom w:val="0"/>
              <w:divBdr>
                <w:top w:val="none" w:sz="0" w:space="0" w:color="auto"/>
                <w:left w:val="none" w:sz="0" w:space="0" w:color="auto"/>
                <w:bottom w:val="none" w:sz="0" w:space="0" w:color="auto"/>
                <w:right w:val="none" w:sz="0" w:space="0" w:color="auto"/>
              </w:divBdr>
              <w:divsChild>
                <w:div w:id="1829593720">
                  <w:marLeft w:val="0"/>
                  <w:marRight w:val="0"/>
                  <w:marTop w:val="0"/>
                  <w:marBottom w:val="0"/>
                  <w:divBdr>
                    <w:top w:val="none" w:sz="0" w:space="0" w:color="auto"/>
                    <w:left w:val="none" w:sz="0" w:space="0" w:color="auto"/>
                    <w:bottom w:val="none" w:sz="0" w:space="0" w:color="auto"/>
                    <w:right w:val="none" w:sz="0" w:space="0" w:color="auto"/>
                  </w:divBdr>
                  <w:divsChild>
                    <w:div w:id="338587122">
                      <w:marLeft w:val="0"/>
                      <w:marRight w:val="0"/>
                      <w:marTop w:val="0"/>
                      <w:marBottom w:val="0"/>
                      <w:divBdr>
                        <w:top w:val="none" w:sz="0" w:space="0" w:color="auto"/>
                        <w:left w:val="none" w:sz="0" w:space="0" w:color="auto"/>
                        <w:bottom w:val="none" w:sz="0" w:space="0" w:color="auto"/>
                        <w:right w:val="none" w:sz="0" w:space="0" w:color="auto"/>
                      </w:divBdr>
                      <w:divsChild>
                        <w:div w:id="1838226201">
                          <w:marLeft w:val="0"/>
                          <w:marRight w:val="0"/>
                          <w:marTop w:val="0"/>
                          <w:marBottom w:val="0"/>
                          <w:divBdr>
                            <w:top w:val="none" w:sz="0" w:space="0" w:color="auto"/>
                            <w:left w:val="none" w:sz="0" w:space="0" w:color="auto"/>
                            <w:bottom w:val="none" w:sz="0" w:space="0" w:color="auto"/>
                            <w:right w:val="none" w:sz="0" w:space="0" w:color="auto"/>
                          </w:divBdr>
                          <w:divsChild>
                            <w:div w:id="1114249310">
                              <w:marLeft w:val="0"/>
                              <w:marRight w:val="0"/>
                              <w:marTop w:val="0"/>
                              <w:marBottom w:val="0"/>
                              <w:divBdr>
                                <w:top w:val="none" w:sz="0" w:space="0" w:color="auto"/>
                                <w:left w:val="none" w:sz="0" w:space="0" w:color="auto"/>
                                <w:bottom w:val="none" w:sz="0" w:space="0" w:color="auto"/>
                                <w:right w:val="none" w:sz="0" w:space="0" w:color="auto"/>
                              </w:divBdr>
                              <w:divsChild>
                                <w:div w:id="11512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49703">
                      <w:marLeft w:val="0"/>
                      <w:marRight w:val="0"/>
                      <w:marTop w:val="0"/>
                      <w:marBottom w:val="0"/>
                      <w:divBdr>
                        <w:top w:val="none" w:sz="0" w:space="0" w:color="auto"/>
                        <w:left w:val="none" w:sz="0" w:space="0" w:color="auto"/>
                        <w:bottom w:val="none" w:sz="0" w:space="0" w:color="auto"/>
                        <w:right w:val="none" w:sz="0" w:space="0" w:color="auto"/>
                      </w:divBdr>
                      <w:divsChild>
                        <w:div w:id="1400250134">
                          <w:marLeft w:val="0"/>
                          <w:marRight w:val="0"/>
                          <w:marTop w:val="0"/>
                          <w:marBottom w:val="0"/>
                          <w:divBdr>
                            <w:top w:val="none" w:sz="0" w:space="0" w:color="auto"/>
                            <w:left w:val="none" w:sz="0" w:space="0" w:color="auto"/>
                            <w:bottom w:val="none" w:sz="0" w:space="0" w:color="auto"/>
                            <w:right w:val="none" w:sz="0" w:space="0" w:color="auto"/>
                          </w:divBdr>
                          <w:divsChild>
                            <w:div w:id="21438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85231">
          <w:marLeft w:val="0"/>
          <w:marRight w:val="0"/>
          <w:marTop w:val="0"/>
          <w:marBottom w:val="0"/>
          <w:divBdr>
            <w:top w:val="none" w:sz="0" w:space="0" w:color="auto"/>
            <w:left w:val="none" w:sz="0" w:space="0" w:color="auto"/>
            <w:bottom w:val="none" w:sz="0" w:space="0" w:color="auto"/>
            <w:right w:val="none" w:sz="0" w:space="0" w:color="auto"/>
          </w:divBdr>
          <w:divsChild>
            <w:div w:id="250436687">
              <w:marLeft w:val="0"/>
              <w:marRight w:val="0"/>
              <w:marTop w:val="0"/>
              <w:marBottom w:val="0"/>
              <w:divBdr>
                <w:top w:val="none" w:sz="0" w:space="0" w:color="auto"/>
                <w:left w:val="none" w:sz="0" w:space="0" w:color="auto"/>
                <w:bottom w:val="none" w:sz="0" w:space="0" w:color="auto"/>
                <w:right w:val="none" w:sz="0" w:space="0" w:color="auto"/>
              </w:divBdr>
              <w:divsChild>
                <w:div w:id="294216247">
                  <w:marLeft w:val="0"/>
                  <w:marRight w:val="0"/>
                  <w:marTop w:val="0"/>
                  <w:marBottom w:val="0"/>
                  <w:divBdr>
                    <w:top w:val="none" w:sz="0" w:space="0" w:color="auto"/>
                    <w:left w:val="none" w:sz="0" w:space="0" w:color="auto"/>
                    <w:bottom w:val="none" w:sz="0" w:space="0" w:color="auto"/>
                    <w:right w:val="none" w:sz="0" w:space="0" w:color="auto"/>
                  </w:divBdr>
                  <w:divsChild>
                    <w:div w:id="1991254632">
                      <w:marLeft w:val="0"/>
                      <w:marRight w:val="0"/>
                      <w:marTop w:val="0"/>
                      <w:marBottom w:val="0"/>
                      <w:divBdr>
                        <w:top w:val="none" w:sz="0" w:space="0" w:color="auto"/>
                        <w:left w:val="none" w:sz="0" w:space="0" w:color="auto"/>
                        <w:bottom w:val="none" w:sz="0" w:space="0" w:color="auto"/>
                        <w:right w:val="none" w:sz="0" w:space="0" w:color="auto"/>
                      </w:divBdr>
                      <w:divsChild>
                        <w:div w:id="2107339854">
                          <w:marLeft w:val="0"/>
                          <w:marRight w:val="0"/>
                          <w:marTop w:val="0"/>
                          <w:marBottom w:val="0"/>
                          <w:divBdr>
                            <w:top w:val="none" w:sz="0" w:space="0" w:color="auto"/>
                            <w:left w:val="none" w:sz="0" w:space="0" w:color="auto"/>
                            <w:bottom w:val="none" w:sz="0" w:space="0" w:color="auto"/>
                            <w:right w:val="none" w:sz="0" w:space="0" w:color="auto"/>
                          </w:divBdr>
                          <w:divsChild>
                            <w:div w:id="774713544">
                              <w:marLeft w:val="0"/>
                              <w:marRight w:val="0"/>
                              <w:marTop w:val="0"/>
                              <w:marBottom w:val="0"/>
                              <w:divBdr>
                                <w:top w:val="none" w:sz="0" w:space="0" w:color="auto"/>
                                <w:left w:val="none" w:sz="0" w:space="0" w:color="auto"/>
                                <w:bottom w:val="none" w:sz="0" w:space="0" w:color="auto"/>
                                <w:right w:val="none" w:sz="0" w:space="0" w:color="auto"/>
                              </w:divBdr>
                              <w:divsChild>
                                <w:div w:id="454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538">
          <w:marLeft w:val="0"/>
          <w:marRight w:val="0"/>
          <w:marTop w:val="0"/>
          <w:marBottom w:val="0"/>
          <w:divBdr>
            <w:top w:val="none" w:sz="0" w:space="0" w:color="auto"/>
            <w:left w:val="none" w:sz="0" w:space="0" w:color="auto"/>
            <w:bottom w:val="none" w:sz="0" w:space="0" w:color="auto"/>
            <w:right w:val="none" w:sz="0" w:space="0" w:color="auto"/>
          </w:divBdr>
          <w:divsChild>
            <w:div w:id="1993950002">
              <w:marLeft w:val="0"/>
              <w:marRight w:val="0"/>
              <w:marTop w:val="0"/>
              <w:marBottom w:val="0"/>
              <w:divBdr>
                <w:top w:val="none" w:sz="0" w:space="0" w:color="auto"/>
                <w:left w:val="none" w:sz="0" w:space="0" w:color="auto"/>
                <w:bottom w:val="none" w:sz="0" w:space="0" w:color="auto"/>
                <w:right w:val="none" w:sz="0" w:space="0" w:color="auto"/>
              </w:divBdr>
              <w:divsChild>
                <w:div w:id="1790969696">
                  <w:marLeft w:val="0"/>
                  <w:marRight w:val="0"/>
                  <w:marTop w:val="0"/>
                  <w:marBottom w:val="0"/>
                  <w:divBdr>
                    <w:top w:val="none" w:sz="0" w:space="0" w:color="auto"/>
                    <w:left w:val="none" w:sz="0" w:space="0" w:color="auto"/>
                    <w:bottom w:val="none" w:sz="0" w:space="0" w:color="auto"/>
                    <w:right w:val="none" w:sz="0" w:space="0" w:color="auto"/>
                  </w:divBdr>
                  <w:divsChild>
                    <w:div w:id="458107719">
                      <w:marLeft w:val="0"/>
                      <w:marRight w:val="0"/>
                      <w:marTop w:val="0"/>
                      <w:marBottom w:val="0"/>
                      <w:divBdr>
                        <w:top w:val="none" w:sz="0" w:space="0" w:color="auto"/>
                        <w:left w:val="none" w:sz="0" w:space="0" w:color="auto"/>
                        <w:bottom w:val="none" w:sz="0" w:space="0" w:color="auto"/>
                        <w:right w:val="none" w:sz="0" w:space="0" w:color="auto"/>
                      </w:divBdr>
                      <w:divsChild>
                        <w:div w:id="388186187">
                          <w:marLeft w:val="0"/>
                          <w:marRight w:val="0"/>
                          <w:marTop w:val="0"/>
                          <w:marBottom w:val="0"/>
                          <w:divBdr>
                            <w:top w:val="none" w:sz="0" w:space="0" w:color="auto"/>
                            <w:left w:val="none" w:sz="0" w:space="0" w:color="auto"/>
                            <w:bottom w:val="none" w:sz="0" w:space="0" w:color="auto"/>
                            <w:right w:val="none" w:sz="0" w:space="0" w:color="auto"/>
                          </w:divBdr>
                          <w:divsChild>
                            <w:div w:id="19531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9871">
      <w:bodyDiv w:val="1"/>
      <w:marLeft w:val="0"/>
      <w:marRight w:val="0"/>
      <w:marTop w:val="0"/>
      <w:marBottom w:val="0"/>
      <w:divBdr>
        <w:top w:val="none" w:sz="0" w:space="0" w:color="auto"/>
        <w:left w:val="none" w:sz="0" w:space="0" w:color="auto"/>
        <w:bottom w:val="none" w:sz="0" w:space="0" w:color="auto"/>
        <w:right w:val="none" w:sz="0" w:space="0" w:color="auto"/>
      </w:divBdr>
    </w:div>
    <w:div w:id="9883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BCFBE.32B2B4F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b9ceb0-3499-44e8-9adc-5a2a28a7f691" xsi:nil="true"/>
    <lcf76f155ced4ddcb4097134ff3c332f xmlns="ea76a348-2439-4191-9554-1854096ee0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C501B9511384AB078CCCE94753768" ma:contentTypeVersion="15" ma:contentTypeDescription="Create a new document." ma:contentTypeScope="" ma:versionID="e35391598c0491bbccda953505bf900d">
  <xsd:schema xmlns:xsd="http://www.w3.org/2001/XMLSchema" xmlns:xs="http://www.w3.org/2001/XMLSchema" xmlns:p="http://schemas.microsoft.com/office/2006/metadata/properties" xmlns:ns2="ea76a348-2439-4191-9554-1854096ee0e9" xmlns:ns3="dbb9ceb0-3499-44e8-9adc-5a2a28a7f691" targetNamespace="http://schemas.microsoft.com/office/2006/metadata/properties" ma:root="true" ma:fieldsID="4bea5ce2cfd292316c975a3a20ec7df8" ns2:_="" ns3:_="">
    <xsd:import namespace="ea76a348-2439-4191-9554-1854096ee0e9"/>
    <xsd:import namespace="dbb9ceb0-3499-44e8-9adc-5a2a28a7f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6a348-2439-4191-9554-1854096e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366eb-2d67-430e-a1f7-e3d40fb0df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9ceb0-3499-44e8-9adc-5a2a28a7f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92a4b1-b024-4ee3-93e7-9c8418c1f2e0}" ma:internalName="TaxCatchAll" ma:showField="CatchAllData" ma:web="dbb9ceb0-3499-44e8-9adc-5a2a28a7f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072A7-1663-4D57-8030-A218D7E80A58}">
  <ds:schemaRefs>
    <ds:schemaRef ds:uri="http://schemas.microsoft.com/office/2006/metadata/properties"/>
    <ds:schemaRef ds:uri="http://schemas.microsoft.com/office/infopath/2007/PartnerControls"/>
    <ds:schemaRef ds:uri="dbb9ceb0-3499-44e8-9adc-5a2a28a7f691"/>
    <ds:schemaRef ds:uri="ea76a348-2439-4191-9554-1854096ee0e9"/>
  </ds:schemaRefs>
</ds:datastoreItem>
</file>

<file path=customXml/itemProps2.xml><?xml version="1.0" encoding="utf-8"?>
<ds:datastoreItem xmlns:ds="http://schemas.openxmlformats.org/officeDocument/2006/customXml" ds:itemID="{E2C0A7AA-3039-4BC1-8DDF-F62B17F6F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6a348-2439-4191-9554-1854096ee0e9"/>
    <ds:schemaRef ds:uri="dbb9ceb0-3499-44e8-9adc-5a2a28a7f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A6FB2-2CB4-45EA-99E2-FF171639D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Matthew (KGS EE)</dc:creator>
  <cp:keywords/>
  <dc:description/>
  <cp:lastModifiedBy>Dasdemir, Kim (KGS EE)</cp:lastModifiedBy>
  <cp:revision>2</cp:revision>
  <dcterms:created xsi:type="dcterms:W3CDTF">2025-12-22T14:37:00Z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2025-08-06T14:33:37Z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f520d5d8-f668-431c-9e11-99f78d62b074</vt:lpwstr>
  </property>
  <property fmtid="{D5CDD505-2E9C-101B-9397-08002B2CF9AE}" pid="8" name="MSIP_Label_b7864bb8-b671-4bed-ba85-9478127ab5e9_ContentBits">
    <vt:lpwstr>0</vt:lpwstr>
  </property>
  <property fmtid="{D5CDD505-2E9C-101B-9397-08002B2CF9AE}" pid="9" name="MSIP_Label_b7864bb8-b671-4bed-ba85-9478127ab5e9_Tag">
    <vt:lpwstr>50, 3, 0, 1</vt:lpwstr>
  </property>
  <property fmtid="{D5CDD505-2E9C-101B-9397-08002B2CF9AE}" pid="10" name="ContentTypeId">
    <vt:lpwstr>0x010100667C501B9511384AB078CCCE94753768</vt:lpwstr>
  </property>
  <property fmtid="{D5CDD505-2E9C-101B-9397-08002B2CF9AE}" pid="11" name="MediaServiceImageTags">
    <vt:lpwstr/>
  </property>
  <property fmtid="{D5CDD505-2E9C-101B-9397-08002B2CF9AE}" pid="12" name="MSIP_Label_68abcbc9-e00b-4bfb-8313-687c10433369_Enabled">
    <vt:lpwstr>true</vt:lpwstr>
  </property>
  <property fmtid="{D5CDD505-2E9C-101B-9397-08002B2CF9AE}" pid="13" name="MSIP_Label_68abcbc9-e00b-4bfb-8313-687c10433369_SetDate">
    <vt:lpwstr>2025-11-20T22:00:11Z</vt:lpwstr>
  </property>
  <property fmtid="{D5CDD505-2E9C-101B-9397-08002B2CF9AE}" pid="14" name="MSIP_Label_68abcbc9-e00b-4bfb-8313-687c10433369_Method">
    <vt:lpwstr>Standard</vt:lpwstr>
  </property>
  <property fmtid="{D5CDD505-2E9C-101B-9397-08002B2CF9AE}" pid="15" name="MSIP_Label_68abcbc9-e00b-4bfb-8313-687c10433369_Name">
    <vt:lpwstr>SPO_ODB_information-protection</vt:lpwstr>
  </property>
  <property fmtid="{D5CDD505-2E9C-101B-9397-08002B2CF9AE}" pid="16" name="MSIP_Label_68abcbc9-e00b-4bfb-8313-687c10433369_SiteId">
    <vt:lpwstr>28c53238-125e-495d-a75e-5e342e3cea11</vt:lpwstr>
  </property>
  <property fmtid="{D5CDD505-2E9C-101B-9397-08002B2CF9AE}" pid="17" name="MSIP_Label_68abcbc9-e00b-4bfb-8313-687c10433369_ActionId">
    <vt:lpwstr>63169cba-bad8-45f0-af30-07770348b402</vt:lpwstr>
  </property>
  <property fmtid="{D5CDD505-2E9C-101B-9397-08002B2CF9AE}" pid="18" name="MSIP_Label_68abcbc9-e00b-4bfb-8313-687c10433369_ContentBits">
    <vt:lpwstr>0</vt:lpwstr>
  </property>
  <property fmtid="{D5CDD505-2E9C-101B-9397-08002B2CF9AE}" pid="19" name="MSIP_Label_68abcbc9-e00b-4bfb-8313-687c10433369_Tag">
    <vt:lpwstr>10, 3, 0, 1</vt:lpwstr>
  </property>
</Properties>
</file>