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553D5" w14:textId="77777777" w:rsidR="00AA66B3" w:rsidRDefault="00AA66B3" w:rsidP="004403B6">
      <w:pPr>
        <w:jc w:val="center"/>
        <w:rPr>
          <w:rFonts w:ascii="Arial" w:eastAsia="Arial" w:hAnsi="Arial"/>
          <w:b/>
          <w:color w:val="0F4C9C"/>
          <w:sz w:val="55"/>
        </w:rPr>
      </w:pPr>
      <w:r w:rsidRPr="005E3072">
        <w:rPr>
          <w:rFonts w:ascii="Arial" w:eastAsia="Arial" w:hAnsi="Arial"/>
          <w:b/>
          <w:color w:val="0F4C9C"/>
          <w:sz w:val="55"/>
        </w:rPr>
        <w:t>Standard</w:t>
      </w:r>
      <w:r w:rsidRPr="00DA3844">
        <w:rPr>
          <w:rFonts w:ascii="Arial" w:eastAsia="Arial" w:hAnsi="Arial"/>
          <w:b/>
          <w:color w:val="0F4C9C"/>
          <w:sz w:val="55"/>
        </w:rPr>
        <w:t xml:space="preserve"> Terms &amp; Conditions </w:t>
      </w:r>
      <w:r w:rsidRPr="00DA3844">
        <w:rPr>
          <w:rFonts w:ascii="Arial" w:eastAsia="Arial" w:hAnsi="Arial"/>
          <w:b/>
          <w:color w:val="0F4C9C"/>
          <w:sz w:val="55"/>
        </w:rPr>
        <w:br/>
        <w:t>of Purchase</w:t>
      </w:r>
    </w:p>
    <w:p w14:paraId="35EA40D1" w14:textId="77777777" w:rsidR="00AA66B3" w:rsidRDefault="00AA66B3" w:rsidP="00AA66B3">
      <w:pPr>
        <w:jc w:val="center"/>
        <w:rPr>
          <w:rFonts w:ascii="Arial" w:eastAsia="Arial" w:hAnsi="Arial"/>
          <w:b/>
          <w:color w:val="0F4C9C"/>
          <w:sz w:val="55"/>
        </w:rPr>
      </w:pPr>
    </w:p>
    <w:p w14:paraId="468EE643" w14:textId="5C4DF62F" w:rsidR="00AA66B3" w:rsidRPr="00AA66B3" w:rsidRDefault="00AA66B3" w:rsidP="00AA66B3">
      <w:pPr>
        <w:jc w:val="center"/>
        <w:rPr>
          <w:rFonts w:ascii="Arial" w:eastAsia="Arial" w:hAnsi="Arial"/>
          <w:b/>
          <w:color w:val="0F4C9C"/>
          <w:sz w:val="55"/>
        </w:rPr>
      </w:pPr>
      <w:r w:rsidRPr="00AA66B3">
        <w:rPr>
          <w:rFonts w:ascii="Arial" w:eastAsia="Arial" w:hAnsi="Arial"/>
          <w:b/>
          <w:color w:val="000000"/>
          <w:sz w:val="32"/>
          <w:szCs w:val="28"/>
        </w:rPr>
        <w:t>ATTACHMENT D</w:t>
      </w:r>
    </w:p>
    <w:p w14:paraId="72B82BB2" w14:textId="36A292EC" w:rsidR="006140D1" w:rsidRPr="009D5255" w:rsidRDefault="00AA66B3" w:rsidP="006140D1">
      <w:pPr>
        <w:spacing w:before="758" w:line="274" w:lineRule="exact"/>
        <w:jc w:val="center"/>
        <w:textAlignment w:val="baseline"/>
        <w:rPr>
          <w:rFonts w:ascii="Arial" w:eastAsia="Arial" w:hAnsi="Arial"/>
          <w:b/>
          <w:color w:val="000000"/>
          <w:sz w:val="24"/>
          <w:szCs w:val="24"/>
        </w:rPr>
      </w:pPr>
      <w:r>
        <w:rPr>
          <w:rFonts w:ascii="Arial" w:eastAsia="Arial" w:hAnsi="Arial"/>
          <w:b/>
          <w:color w:val="000000"/>
          <w:sz w:val="24"/>
        </w:rPr>
        <w:br w:type="page"/>
      </w:r>
      <w:r w:rsidR="006140D1" w:rsidRPr="009D5255">
        <w:rPr>
          <w:rFonts w:ascii="Arial" w:eastAsia="Arial" w:hAnsi="Arial"/>
          <w:b/>
          <w:color w:val="000000"/>
          <w:sz w:val="24"/>
          <w:szCs w:val="24"/>
        </w:rPr>
        <w:lastRenderedPageBreak/>
        <w:t>STANDARD TERMS AND CONDITIONS OF PURCHASE</w:t>
      </w:r>
      <w:r w:rsidR="006140D1" w:rsidRPr="009D5255">
        <w:rPr>
          <w:rFonts w:ascii="Arial" w:eastAsia="Arial" w:hAnsi="Arial"/>
          <w:b/>
          <w:color w:val="000000"/>
          <w:sz w:val="24"/>
          <w:szCs w:val="24"/>
        </w:rPr>
        <w:br/>
      </w:r>
      <w:r w:rsidR="006140D1" w:rsidRPr="009D5255">
        <w:rPr>
          <w:rFonts w:ascii="Arial" w:eastAsia="Arial" w:hAnsi="Arial"/>
          <w:b/>
          <w:color w:val="000000"/>
          <w:sz w:val="24"/>
          <w:szCs w:val="24"/>
        </w:rPr>
        <w:br/>
        <w:t>ATTACHMENT D</w:t>
      </w:r>
      <w:r w:rsidR="006140D1" w:rsidRPr="009D5255">
        <w:rPr>
          <w:rFonts w:ascii="Arial" w:eastAsia="Arial" w:hAnsi="Arial"/>
          <w:b/>
          <w:color w:val="000000"/>
          <w:sz w:val="24"/>
          <w:szCs w:val="24"/>
        </w:rPr>
        <w:br/>
      </w:r>
    </w:p>
    <w:p w14:paraId="13BD8CD3" w14:textId="3C2FEB66" w:rsidR="006A5DAD" w:rsidRPr="009D5255" w:rsidRDefault="006A5DAD" w:rsidP="00AA66B3">
      <w:pPr>
        <w:jc w:val="center"/>
        <w:rPr>
          <w:rFonts w:ascii="Arial" w:eastAsia="Arial" w:hAnsi="Arial"/>
          <w:b/>
          <w:color w:val="000000"/>
          <w:sz w:val="24"/>
          <w:szCs w:val="24"/>
        </w:rPr>
      </w:pPr>
      <w:r w:rsidRPr="009D5255">
        <w:rPr>
          <w:rFonts w:ascii="Arial" w:eastAsia="Arial" w:hAnsi="Arial"/>
          <w:b/>
          <w:color w:val="000000"/>
          <w:sz w:val="24"/>
          <w:szCs w:val="24"/>
        </w:rPr>
        <w:t>Corporate Due Diligence Obligations</w:t>
      </w:r>
    </w:p>
    <w:p w14:paraId="2A7E3CDE" w14:textId="38163415" w:rsidR="006A5DAD" w:rsidRPr="005E3072" w:rsidRDefault="006A5DAD" w:rsidP="006A5DAD">
      <w:pPr>
        <w:spacing w:before="232" w:line="254" w:lineRule="exact"/>
        <w:ind w:right="72"/>
        <w:textAlignment w:val="baseline"/>
        <w:rPr>
          <w:rFonts w:ascii="Arial" w:eastAsia="Arial" w:hAnsi="Arial"/>
          <w:color w:val="000000"/>
        </w:rPr>
      </w:pPr>
      <w:r w:rsidRPr="005E3072">
        <w:rPr>
          <w:rFonts w:ascii="Arial" w:eastAsia="Arial" w:hAnsi="Arial"/>
          <w:color w:val="000000"/>
        </w:rPr>
        <w:t>The following provisions regarding corporate due diligence obligations are incorporated into KGS’ Standard Terms &amp; Conditions of Purchase which may be found at</w:t>
      </w:r>
      <w:r w:rsidRPr="005E3072">
        <w:rPr>
          <w:rFonts w:ascii="Arial" w:eastAsia="Arial" w:hAnsi="Arial"/>
          <w:color w:val="0000FF"/>
          <w:u w:val="single"/>
        </w:rPr>
        <w:t xml:space="preserve"> </w:t>
      </w:r>
      <w:hyperlink r:id="rId11" w:history="1">
        <w:r w:rsidR="00CD5EDF" w:rsidRPr="005E3072">
          <w:rPr>
            <w:rStyle w:val="Hyperlink"/>
            <w:rFonts w:ascii="Arial" w:eastAsia="Arial" w:hAnsi="Arial"/>
          </w:rPr>
          <w:t>https://www.kiddeglobalsolutions.com</w:t>
        </w:r>
      </w:hyperlink>
      <w:r w:rsidR="00CD5EDF" w:rsidRPr="005E3072">
        <w:rPr>
          <w:rFonts w:ascii="Arial" w:eastAsia="Arial" w:hAnsi="Arial"/>
          <w:color w:val="0000FF"/>
          <w:u w:val="single"/>
        </w:rPr>
        <w:t xml:space="preserve"> </w:t>
      </w:r>
      <w:r w:rsidRPr="005E3072">
        <w:rPr>
          <w:rFonts w:ascii="Arial" w:eastAsia="Arial" w:hAnsi="Arial"/>
          <w:color w:val="000000"/>
        </w:rPr>
        <w:t>(the “</w:t>
      </w:r>
      <w:r w:rsidRPr="005E3072">
        <w:rPr>
          <w:rFonts w:ascii="Arial" w:eastAsia="Arial" w:hAnsi="Arial"/>
          <w:b/>
          <w:color w:val="000000"/>
        </w:rPr>
        <w:t>Terms</w:t>
      </w:r>
      <w:r w:rsidRPr="005E3072">
        <w:rPr>
          <w:rFonts w:ascii="Arial" w:eastAsia="Arial" w:hAnsi="Arial"/>
          <w:color w:val="000000"/>
        </w:rPr>
        <w:t>”). All capitalized terms used in this policy but not defined shall have the same meaning given to them in the Terms.</w:t>
      </w:r>
    </w:p>
    <w:p w14:paraId="47F1D97B" w14:textId="2CE8E011" w:rsidR="006A5DAD" w:rsidRPr="005E3072" w:rsidRDefault="00733FF5" w:rsidP="006A5DAD">
      <w:pPr>
        <w:spacing w:before="233" w:line="254" w:lineRule="exact"/>
        <w:jc w:val="both"/>
        <w:textAlignment w:val="baseline"/>
        <w:rPr>
          <w:rFonts w:ascii="Arial" w:eastAsia="Arial" w:hAnsi="Arial"/>
          <w:color w:val="000000"/>
        </w:rPr>
      </w:pPr>
      <w:r w:rsidRPr="005E3072">
        <w:rPr>
          <w:rFonts w:ascii="Arial" w:eastAsia="Arial" w:hAnsi="Arial"/>
          <w:color w:val="000000"/>
        </w:rPr>
        <w:t>KGS</w:t>
      </w:r>
      <w:r w:rsidR="006A5DAD" w:rsidRPr="005E3072">
        <w:rPr>
          <w:rFonts w:ascii="Arial" w:eastAsia="Arial" w:hAnsi="Arial"/>
          <w:color w:val="000000"/>
        </w:rPr>
        <w:t xml:space="preserve"> recognizes that different countries have established laws requiring certain due diligence, disclosure and other actions to ensure the protection of certain fundamental human rights and the environment including, without limitation, the German Act on Corporate Due Diligence Obligations in Supply Chains (</w:t>
      </w:r>
      <w:proofErr w:type="spellStart"/>
      <w:r w:rsidR="006A5DAD" w:rsidRPr="005E3072">
        <w:rPr>
          <w:rFonts w:ascii="Arial" w:eastAsia="Arial" w:hAnsi="Arial"/>
          <w:i/>
          <w:color w:val="000000"/>
        </w:rPr>
        <w:t>Lieferkettensorgfaltspflichtengesetz</w:t>
      </w:r>
      <w:proofErr w:type="spellEnd"/>
      <w:r w:rsidR="006A5DAD" w:rsidRPr="005E3072">
        <w:rPr>
          <w:rFonts w:ascii="Arial" w:eastAsia="Arial" w:hAnsi="Arial"/>
          <w:color w:val="000000"/>
        </w:rPr>
        <w:t xml:space="preserve">). Those laws are referenced in this Attachment D along with those provisions each specific law requires be made part of the Seller’s applicable contract with </w:t>
      </w:r>
      <w:r w:rsidRPr="005E3072">
        <w:rPr>
          <w:rFonts w:ascii="Arial" w:eastAsia="Arial" w:hAnsi="Arial"/>
          <w:color w:val="000000"/>
        </w:rPr>
        <w:t>KGS</w:t>
      </w:r>
      <w:r w:rsidR="006A5DAD" w:rsidRPr="005E3072">
        <w:rPr>
          <w:rFonts w:ascii="Arial" w:eastAsia="Arial" w:hAnsi="Arial"/>
          <w:color w:val="000000"/>
        </w:rPr>
        <w:t xml:space="preserve"> as a supplier to </w:t>
      </w:r>
      <w:r w:rsidRPr="005E3072">
        <w:rPr>
          <w:rFonts w:ascii="Arial" w:eastAsia="Arial" w:hAnsi="Arial"/>
          <w:color w:val="000000"/>
        </w:rPr>
        <w:t>KGS</w:t>
      </w:r>
      <w:r w:rsidR="006A5DAD" w:rsidRPr="005E3072">
        <w:rPr>
          <w:rFonts w:ascii="Arial" w:eastAsia="Arial" w:hAnsi="Arial"/>
          <w:color w:val="000000"/>
        </w:rPr>
        <w:t>.</w:t>
      </w:r>
    </w:p>
    <w:p w14:paraId="24310C71" w14:textId="707B7091" w:rsidR="006A5DAD" w:rsidRPr="005E3072" w:rsidRDefault="006A5DAD" w:rsidP="00AA66B3">
      <w:pPr>
        <w:spacing w:before="239" w:line="279" w:lineRule="exact"/>
        <w:ind w:left="360" w:hanging="360"/>
        <w:jc w:val="both"/>
        <w:textAlignment w:val="baseline"/>
        <w:rPr>
          <w:rFonts w:ascii="Arial" w:eastAsia="Arial" w:hAnsi="Arial"/>
          <w:color w:val="000000"/>
        </w:rPr>
      </w:pPr>
      <w:r w:rsidRPr="005E3072">
        <w:rPr>
          <w:rFonts w:ascii="Arial" w:eastAsia="Arial" w:hAnsi="Arial"/>
          <w:b/>
          <w:bCs/>
          <w:color w:val="000000"/>
        </w:rPr>
        <w:t>A.</w:t>
      </w:r>
      <w:r w:rsidR="00AA66B3" w:rsidRPr="005E3072">
        <w:rPr>
          <w:rFonts w:ascii="Arial" w:eastAsia="Arial" w:hAnsi="Arial"/>
          <w:color w:val="000000"/>
        </w:rPr>
        <w:t xml:space="preserve"> </w:t>
      </w:r>
      <w:r w:rsidRPr="005E3072">
        <w:rPr>
          <w:rFonts w:ascii="Arial" w:eastAsia="Arial" w:hAnsi="Arial"/>
          <w:b/>
          <w:color w:val="000000"/>
        </w:rPr>
        <w:t>German Act on Corporate Due Diligence Obligations in Supply Chains (</w:t>
      </w:r>
      <w:proofErr w:type="spellStart"/>
      <w:r w:rsidRPr="005E3072">
        <w:rPr>
          <w:rFonts w:ascii="Arial" w:eastAsia="Arial" w:hAnsi="Arial"/>
          <w:i/>
          <w:color w:val="000000"/>
        </w:rPr>
        <w:t>Lieferkettensorgfaltspflichtengesetz</w:t>
      </w:r>
      <w:proofErr w:type="spellEnd"/>
      <w:r w:rsidRPr="005E3072">
        <w:rPr>
          <w:rFonts w:ascii="Arial" w:eastAsia="Arial" w:hAnsi="Arial"/>
          <w:b/>
          <w:color w:val="000000"/>
        </w:rPr>
        <w:t>)</w:t>
      </w:r>
    </w:p>
    <w:p w14:paraId="08B70CD7" w14:textId="369F0A1F" w:rsidR="006A5DAD" w:rsidRPr="005E3072" w:rsidRDefault="006A5DAD" w:rsidP="00AA66B3">
      <w:pPr>
        <w:spacing w:before="232" w:line="254" w:lineRule="exact"/>
        <w:jc w:val="both"/>
        <w:textAlignment w:val="baseline"/>
        <w:rPr>
          <w:rFonts w:ascii="Arial" w:eastAsia="Arial" w:hAnsi="Arial"/>
          <w:color w:val="000000"/>
        </w:rPr>
      </w:pPr>
      <w:r w:rsidRPr="005E3072">
        <w:rPr>
          <w:rFonts w:ascii="Arial" w:eastAsia="Arial" w:hAnsi="Arial"/>
          <w:color w:val="000000"/>
        </w:rPr>
        <w:t xml:space="preserve">To the extent the Act on Corporate Due Diligence Obligations in Supply Chains applies to </w:t>
      </w:r>
      <w:r w:rsidR="00733FF5" w:rsidRPr="005E3072">
        <w:rPr>
          <w:rFonts w:ascii="Arial" w:eastAsia="Arial" w:hAnsi="Arial"/>
          <w:color w:val="000000"/>
        </w:rPr>
        <w:t>KGS</w:t>
      </w:r>
      <w:r w:rsidRPr="005E3072">
        <w:rPr>
          <w:rFonts w:ascii="Arial" w:eastAsia="Arial" w:hAnsi="Arial"/>
          <w:color w:val="000000"/>
        </w:rPr>
        <w:t xml:space="preserve"> and/or Seller as its supplier, the following provisions are incorporated into </w:t>
      </w:r>
      <w:r w:rsidR="00733FF5" w:rsidRPr="005E3072">
        <w:rPr>
          <w:rFonts w:ascii="Arial" w:eastAsia="Arial" w:hAnsi="Arial"/>
          <w:color w:val="000000"/>
        </w:rPr>
        <w:t>KGS’</w:t>
      </w:r>
      <w:r w:rsidRPr="005E3072">
        <w:rPr>
          <w:rFonts w:ascii="Arial" w:eastAsia="Arial" w:hAnsi="Arial"/>
          <w:color w:val="000000"/>
        </w:rPr>
        <w:t xml:space="preserve"> Standard Terms &amp; Conditions of Purchase which may be found at</w:t>
      </w:r>
      <w:r w:rsidR="00CD5EDF" w:rsidRPr="005E3072">
        <w:rPr>
          <w:rFonts w:ascii="Arial" w:eastAsia="Arial" w:hAnsi="Arial"/>
          <w:color w:val="000000"/>
        </w:rPr>
        <w:t xml:space="preserve"> </w:t>
      </w:r>
      <w:hyperlink r:id="rId12" w:history="1">
        <w:r w:rsidR="00F04412" w:rsidRPr="005E3072">
          <w:rPr>
            <w:rStyle w:val="Hyperlink"/>
            <w:rFonts w:ascii="Arial" w:eastAsia="Arial" w:hAnsi="Arial"/>
          </w:rPr>
          <w:t>https://www.kiddeglobalsolutions.com</w:t>
        </w:r>
      </w:hyperlink>
      <w:r w:rsidR="00F04412" w:rsidRPr="005E3072">
        <w:rPr>
          <w:rFonts w:ascii="Arial" w:eastAsia="Arial" w:hAnsi="Arial"/>
          <w:color w:val="000000"/>
        </w:rPr>
        <w:t xml:space="preserve"> </w:t>
      </w:r>
      <w:r w:rsidRPr="005E3072">
        <w:rPr>
          <w:rFonts w:ascii="Arial" w:eastAsia="Arial" w:hAnsi="Arial"/>
          <w:color w:val="000000"/>
        </w:rPr>
        <w:t xml:space="preserve"> (the “</w:t>
      </w:r>
      <w:r w:rsidRPr="005E3072">
        <w:rPr>
          <w:rFonts w:ascii="Arial" w:eastAsia="Arial" w:hAnsi="Arial"/>
          <w:b/>
          <w:color w:val="000000"/>
        </w:rPr>
        <w:t>Terms</w:t>
      </w:r>
      <w:r w:rsidRPr="005E3072">
        <w:rPr>
          <w:rFonts w:ascii="Arial" w:eastAsia="Arial" w:hAnsi="Arial"/>
          <w:color w:val="000000"/>
        </w:rPr>
        <w:t>”). All capitalized terms used in this policy but not defined shall have the same meaning given to them in the Terms. This Attachment does not affect Seller’s obligations under the Terms, in particular under Section 17 (Code of Conduct) or Section 20 (Compliance</w:t>
      </w:r>
      <w:r w:rsidR="00733FF5" w:rsidRPr="005E3072">
        <w:rPr>
          <w:rFonts w:ascii="Arial" w:eastAsia="Arial" w:hAnsi="Arial"/>
          <w:color w:val="000000"/>
        </w:rPr>
        <w:t>) but</w:t>
      </w:r>
      <w:r w:rsidRPr="005E3072">
        <w:rPr>
          <w:rFonts w:ascii="Arial" w:eastAsia="Arial" w:hAnsi="Arial"/>
          <w:color w:val="000000"/>
        </w:rPr>
        <w:t xml:space="preserve"> stipulates additional obligations for Seller.</w:t>
      </w:r>
    </w:p>
    <w:p w14:paraId="71745A03" w14:textId="77777777" w:rsidR="006A5DAD" w:rsidRPr="005E3072" w:rsidRDefault="006A5DAD" w:rsidP="00AA66B3">
      <w:pPr>
        <w:spacing w:before="239" w:line="252" w:lineRule="exact"/>
        <w:textAlignment w:val="baseline"/>
        <w:rPr>
          <w:rFonts w:ascii="Arial" w:eastAsia="Arial" w:hAnsi="Arial"/>
          <w:b/>
          <w:color w:val="000000"/>
        </w:rPr>
      </w:pPr>
      <w:r w:rsidRPr="005E3072">
        <w:rPr>
          <w:rFonts w:ascii="Arial" w:eastAsia="Arial" w:hAnsi="Arial"/>
          <w:b/>
          <w:color w:val="000000"/>
        </w:rPr>
        <w:t>1. HUMAN RIGHTS INSTRUMENTS</w:t>
      </w:r>
    </w:p>
    <w:p w14:paraId="17AE10FD" w14:textId="77777777" w:rsidR="006A5DAD" w:rsidRPr="005E3072" w:rsidRDefault="006A5DAD" w:rsidP="00AA66B3">
      <w:pPr>
        <w:spacing w:before="236" w:line="254" w:lineRule="exact"/>
        <w:jc w:val="both"/>
        <w:textAlignment w:val="baseline"/>
        <w:rPr>
          <w:rFonts w:ascii="Arial" w:eastAsia="Arial" w:hAnsi="Arial"/>
          <w:color w:val="000000"/>
        </w:rPr>
      </w:pPr>
      <w:r w:rsidRPr="005E3072">
        <w:rPr>
          <w:rFonts w:ascii="Arial" w:eastAsia="Arial" w:hAnsi="Arial"/>
          <w:color w:val="000000"/>
        </w:rPr>
        <w:t>Seller commits itself to respect and observe and make best efforts to have its direct suppliers respect and observe the rights and fundamental principles articulated and protected by the following human rights instruments (the “</w:t>
      </w:r>
      <w:r w:rsidRPr="005E3072">
        <w:rPr>
          <w:rFonts w:ascii="Arial" w:eastAsia="Arial" w:hAnsi="Arial"/>
          <w:b/>
          <w:color w:val="000000"/>
        </w:rPr>
        <w:t>Human Rights Instruments</w:t>
      </w:r>
      <w:r w:rsidRPr="005E3072">
        <w:rPr>
          <w:rFonts w:ascii="Arial" w:eastAsia="Arial" w:hAnsi="Arial"/>
          <w:color w:val="000000"/>
        </w:rPr>
        <w:t>”) as listed in the Annex to section 2 (1), section 7 (3) sentence 2 to the Act on Corporate Due Diligence Obligations in Supply Chains (available at</w:t>
      </w:r>
      <w:r w:rsidRPr="005E3072">
        <w:rPr>
          <w:rFonts w:ascii="Arial" w:eastAsia="Arial" w:hAnsi="Arial"/>
          <w:color w:val="0000FF"/>
          <w:u w:val="single"/>
        </w:rPr>
        <w:t xml:space="preserve"> </w:t>
      </w:r>
      <w:hyperlink r:id="rId13">
        <w:r w:rsidRPr="005E3072">
          <w:rPr>
            <w:rFonts w:ascii="Arial" w:eastAsia="Arial" w:hAnsi="Arial"/>
            <w:color w:val="0000FF"/>
            <w:u w:val="single"/>
          </w:rPr>
          <w:t>https://www.csr-in-deutschland.de/SharedDocs/Downloads/EN/act-corporate-due-diligence-obligations-supply-</w:t>
        </w:r>
      </w:hyperlink>
      <w:r w:rsidRPr="005E3072">
        <w:rPr>
          <w:rFonts w:ascii="Arial" w:eastAsia="Arial" w:hAnsi="Arial"/>
          <w:color w:val="000000"/>
        </w:rPr>
        <w:t xml:space="preserve"> </w:t>
      </w:r>
    </w:p>
    <w:p w14:paraId="0BCE82F8" w14:textId="7E89A185" w:rsidR="006A5DAD" w:rsidRPr="005E3072" w:rsidRDefault="006A5DAD" w:rsidP="006A5DAD">
      <w:pPr>
        <w:spacing w:before="1" w:line="254" w:lineRule="exact"/>
        <w:jc w:val="both"/>
        <w:textAlignment w:val="baseline"/>
        <w:rPr>
          <w:rFonts w:ascii="Arial" w:eastAsia="Arial" w:hAnsi="Arial"/>
          <w:color w:val="0000FF"/>
          <w:spacing w:val="4"/>
          <w:u w:val="single"/>
        </w:rPr>
      </w:pPr>
      <w:r w:rsidRPr="005E3072">
        <w:rPr>
          <w:rFonts w:ascii="Arial" w:eastAsia="Arial" w:hAnsi="Arial"/>
          <w:color w:val="0000FF"/>
          <w:spacing w:val="4"/>
          <w:u w:val="single"/>
        </w:rPr>
        <w:t>chains.pdf? blob=</w:t>
      </w:r>
      <w:proofErr w:type="spellStart"/>
      <w:r w:rsidRPr="005E3072">
        <w:rPr>
          <w:rFonts w:ascii="Arial" w:eastAsia="Arial" w:hAnsi="Arial"/>
          <w:color w:val="0000FF"/>
          <w:spacing w:val="4"/>
          <w:u w:val="single"/>
        </w:rPr>
        <w:t>publicationFile#linkicon</w:t>
      </w:r>
      <w:proofErr w:type="spellEnd"/>
      <w:r w:rsidRPr="005E3072">
        <w:rPr>
          <w:rFonts w:ascii="Arial" w:eastAsia="Arial" w:hAnsi="Arial"/>
          <w:color w:val="0000FF"/>
          <w:spacing w:val="4"/>
        </w:rPr>
        <w:t>)</w:t>
      </w:r>
      <w:r w:rsidR="00827550" w:rsidRPr="005E3072">
        <w:rPr>
          <w:rFonts w:ascii="Arial" w:eastAsia="Arial" w:hAnsi="Arial"/>
          <w:color w:val="0000FF"/>
          <w:spacing w:val="4"/>
        </w:rPr>
        <w:t>.</w:t>
      </w:r>
      <w:r w:rsidRPr="005E3072">
        <w:rPr>
          <w:rFonts w:ascii="Arial" w:eastAsia="Arial" w:hAnsi="Arial"/>
          <w:color w:val="000000"/>
          <w:spacing w:val="4"/>
        </w:rPr>
        <w:t xml:space="preserve"> </w:t>
      </w:r>
    </w:p>
    <w:p w14:paraId="0C831B65" w14:textId="77777777" w:rsidR="006A5DAD" w:rsidRPr="005E3072" w:rsidRDefault="006A5DAD" w:rsidP="006A5DAD">
      <w:pPr>
        <w:spacing w:before="236" w:line="254" w:lineRule="exact"/>
        <w:ind w:left="720"/>
        <w:jc w:val="both"/>
        <w:textAlignment w:val="baseline"/>
        <w:rPr>
          <w:rFonts w:ascii="Arial" w:eastAsia="Arial" w:hAnsi="Arial"/>
          <w:color w:val="000000"/>
        </w:rPr>
      </w:pPr>
      <w:r w:rsidRPr="005E3072">
        <w:rPr>
          <w:rFonts w:ascii="Arial" w:eastAsia="Arial" w:hAnsi="Arial"/>
          <w:color w:val="000000"/>
        </w:rPr>
        <w:t xml:space="preserve">Convention No. 29 of the International </w:t>
      </w:r>
      <w:proofErr w:type="spellStart"/>
      <w:r w:rsidRPr="005E3072">
        <w:rPr>
          <w:rFonts w:ascii="Arial" w:eastAsia="Arial" w:hAnsi="Arial"/>
          <w:color w:val="000000"/>
        </w:rPr>
        <w:t>Labour</w:t>
      </w:r>
      <w:proofErr w:type="spellEnd"/>
      <w:r w:rsidRPr="005E3072">
        <w:rPr>
          <w:rFonts w:ascii="Arial" w:eastAsia="Arial" w:hAnsi="Arial"/>
          <w:color w:val="000000"/>
        </w:rPr>
        <w:t xml:space="preserve"> Organization of 28 June 1930 concerning Forced or Compulsory </w:t>
      </w:r>
      <w:proofErr w:type="spellStart"/>
      <w:r w:rsidRPr="005E3072">
        <w:rPr>
          <w:rFonts w:ascii="Arial" w:eastAsia="Arial" w:hAnsi="Arial"/>
          <w:color w:val="000000"/>
        </w:rPr>
        <w:t>Labour</w:t>
      </w:r>
      <w:proofErr w:type="spellEnd"/>
      <w:r w:rsidRPr="005E3072">
        <w:rPr>
          <w:rFonts w:ascii="Arial" w:eastAsia="Arial" w:hAnsi="Arial"/>
          <w:color w:val="000000"/>
        </w:rPr>
        <w:t xml:space="preserve"> (ILO Convention No. 29; available at:</w:t>
      </w:r>
      <w:r w:rsidRPr="005E3072">
        <w:rPr>
          <w:rFonts w:ascii="Arial" w:eastAsia="Arial" w:hAnsi="Arial"/>
          <w:color w:val="0000FF"/>
          <w:u w:val="single"/>
        </w:rPr>
        <w:t xml:space="preserve"> Convention C029 - Forced </w:t>
      </w:r>
      <w:proofErr w:type="spellStart"/>
      <w:r w:rsidRPr="005E3072">
        <w:rPr>
          <w:rFonts w:ascii="Arial" w:eastAsia="Arial" w:hAnsi="Arial"/>
          <w:color w:val="0000FF"/>
          <w:u w:val="single"/>
        </w:rPr>
        <w:t>Labour</w:t>
      </w:r>
      <w:proofErr w:type="spellEnd"/>
      <w:r w:rsidRPr="005E3072">
        <w:rPr>
          <w:rFonts w:ascii="Arial" w:eastAsia="Arial" w:hAnsi="Arial"/>
          <w:color w:val="0000FF"/>
          <w:u w:val="single"/>
        </w:rPr>
        <w:t xml:space="preserve"> </w:t>
      </w:r>
      <w:proofErr w:type="gramStart"/>
      <w:r w:rsidRPr="005E3072">
        <w:rPr>
          <w:rFonts w:ascii="Arial" w:eastAsia="Arial" w:hAnsi="Arial"/>
          <w:color w:val="0000FF"/>
          <w:u w:val="single"/>
        </w:rPr>
        <w:t>Convention,  1930</w:t>
      </w:r>
      <w:proofErr w:type="gramEnd"/>
      <w:r w:rsidRPr="005E3072">
        <w:rPr>
          <w:rFonts w:ascii="Arial" w:eastAsia="Arial" w:hAnsi="Arial"/>
          <w:color w:val="0000FF"/>
          <w:u w:val="single"/>
        </w:rPr>
        <w:t xml:space="preserve"> (No. 29) (</w:t>
      </w:r>
      <w:hyperlink r:id="rId14">
        <w:r w:rsidRPr="005E3072">
          <w:rPr>
            <w:rFonts w:ascii="Arial" w:eastAsia="Arial" w:hAnsi="Arial"/>
            <w:color w:val="0000FF"/>
            <w:u w:val="single"/>
          </w:rPr>
          <w:t>ilo.org</w:t>
        </w:r>
      </w:hyperlink>
      <w:r w:rsidRPr="005E3072">
        <w:rPr>
          <w:rFonts w:ascii="Arial" w:eastAsia="Arial" w:hAnsi="Arial"/>
          <w:color w:val="0000FF"/>
          <w:u w:val="single"/>
        </w:rPr>
        <w:t>)</w:t>
      </w:r>
      <w:proofErr w:type="gramStart"/>
      <w:r w:rsidRPr="005E3072">
        <w:rPr>
          <w:rFonts w:ascii="Arial" w:eastAsia="Arial" w:hAnsi="Arial"/>
          <w:color w:val="0000FF"/>
        </w:rPr>
        <w:t>);</w:t>
      </w:r>
      <w:proofErr w:type="gramEnd"/>
      <w:r w:rsidRPr="005E3072">
        <w:rPr>
          <w:rFonts w:ascii="Arial" w:eastAsia="Arial" w:hAnsi="Arial"/>
          <w:color w:val="0000FF"/>
          <w:u w:val="single"/>
        </w:rPr>
        <w:t xml:space="preserve"> </w:t>
      </w:r>
    </w:p>
    <w:p w14:paraId="1CBEA71E" w14:textId="77777777" w:rsidR="006A5DAD" w:rsidRPr="005E3072" w:rsidRDefault="006A5DAD" w:rsidP="006A5DAD">
      <w:pPr>
        <w:spacing w:before="236" w:line="254" w:lineRule="exact"/>
        <w:ind w:left="720"/>
        <w:jc w:val="both"/>
        <w:textAlignment w:val="baseline"/>
        <w:rPr>
          <w:rFonts w:ascii="Arial" w:eastAsia="Arial" w:hAnsi="Arial"/>
          <w:color w:val="000000"/>
        </w:rPr>
      </w:pPr>
      <w:r w:rsidRPr="005E3072">
        <w:rPr>
          <w:rFonts w:ascii="Arial" w:eastAsia="Arial" w:hAnsi="Arial"/>
          <w:color w:val="000000"/>
        </w:rPr>
        <w:t xml:space="preserve">Protocol of 11 June 2014 to Convention No. 29 of the International </w:t>
      </w:r>
      <w:proofErr w:type="spellStart"/>
      <w:r w:rsidRPr="005E3072">
        <w:rPr>
          <w:rFonts w:ascii="Arial" w:eastAsia="Arial" w:hAnsi="Arial"/>
          <w:color w:val="000000"/>
        </w:rPr>
        <w:t>Labour</w:t>
      </w:r>
      <w:proofErr w:type="spellEnd"/>
      <w:r w:rsidRPr="005E3072">
        <w:rPr>
          <w:rFonts w:ascii="Arial" w:eastAsia="Arial" w:hAnsi="Arial"/>
          <w:color w:val="000000"/>
        </w:rPr>
        <w:t xml:space="preserve"> Organization of 29 June 1930 of the International </w:t>
      </w:r>
      <w:proofErr w:type="spellStart"/>
      <w:r w:rsidRPr="005E3072">
        <w:rPr>
          <w:rFonts w:ascii="Arial" w:eastAsia="Arial" w:hAnsi="Arial"/>
          <w:color w:val="000000"/>
        </w:rPr>
        <w:t>Labour</w:t>
      </w:r>
      <w:proofErr w:type="spellEnd"/>
      <w:r w:rsidRPr="005E3072">
        <w:rPr>
          <w:rFonts w:ascii="Arial" w:eastAsia="Arial" w:hAnsi="Arial"/>
          <w:color w:val="000000"/>
        </w:rPr>
        <w:t xml:space="preserve"> Organization (available at:</w:t>
      </w:r>
      <w:r w:rsidRPr="005E3072">
        <w:rPr>
          <w:rFonts w:ascii="Arial" w:eastAsia="Arial" w:hAnsi="Arial"/>
          <w:color w:val="0000FF"/>
          <w:u w:val="single"/>
        </w:rPr>
        <w:t xml:space="preserve"> Protocol P029 - Protocol of 2014 to the Forced </w:t>
      </w:r>
      <w:proofErr w:type="spellStart"/>
      <w:r w:rsidRPr="005E3072">
        <w:rPr>
          <w:rFonts w:ascii="Arial" w:eastAsia="Arial" w:hAnsi="Arial"/>
          <w:color w:val="0000FF"/>
          <w:u w:val="single"/>
        </w:rPr>
        <w:t>Labour</w:t>
      </w:r>
      <w:proofErr w:type="spellEnd"/>
      <w:r w:rsidRPr="005E3072">
        <w:rPr>
          <w:rFonts w:ascii="Arial" w:eastAsia="Arial" w:hAnsi="Arial"/>
          <w:color w:val="0000FF"/>
          <w:u w:val="single"/>
        </w:rPr>
        <w:t xml:space="preserve"> Convention, 1930 (</w:t>
      </w:r>
      <w:hyperlink r:id="rId15">
        <w:r w:rsidRPr="005E3072">
          <w:rPr>
            <w:rFonts w:ascii="Arial" w:eastAsia="Arial" w:hAnsi="Arial"/>
            <w:color w:val="0000FF"/>
            <w:u w:val="single"/>
          </w:rPr>
          <w:t>ilo.org</w:t>
        </w:r>
      </w:hyperlink>
      <w:r w:rsidRPr="005E3072">
        <w:rPr>
          <w:rFonts w:ascii="Arial" w:eastAsia="Arial" w:hAnsi="Arial"/>
          <w:color w:val="0000FF"/>
          <w:u w:val="single"/>
        </w:rPr>
        <w:t>)</w:t>
      </w:r>
      <w:r w:rsidRPr="005E3072">
        <w:rPr>
          <w:rFonts w:ascii="Arial" w:eastAsia="Arial" w:hAnsi="Arial"/>
          <w:color w:val="0000FF"/>
        </w:rPr>
        <w:t>);</w:t>
      </w:r>
      <w:r w:rsidRPr="005E3072">
        <w:rPr>
          <w:rFonts w:ascii="Arial" w:eastAsia="Arial" w:hAnsi="Arial"/>
          <w:color w:val="0000FF"/>
          <w:u w:val="single"/>
        </w:rPr>
        <w:t xml:space="preserve"> </w:t>
      </w:r>
    </w:p>
    <w:p w14:paraId="301EE100" w14:textId="4E2CC794" w:rsidR="006A5DAD" w:rsidRPr="005E3072" w:rsidRDefault="006A5DAD" w:rsidP="006A5DAD">
      <w:pPr>
        <w:spacing w:before="3" w:line="254" w:lineRule="exact"/>
        <w:ind w:left="720"/>
        <w:textAlignment w:val="baseline"/>
        <w:rPr>
          <w:rFonts w:ascii="Arial" w:eastAsia="Arial" w:hAnsi="Arial"/>
          <w:color w:val="0000FF"/>
          <w:u w:val="single"/>
        </w:rPr>
      </w:pPr>
      <w:r w:rsidRPr="005E3072">
        <w:rPr>
          <w:rFonts w:ascii="Arial" w:eastAsia="Arial" w:hAnsi="Arial"/>
          <w:color w:val="000000"/>
        </w:rPr>
        <w:lastRenderedPageBreak/>
        <w:t xml:space="preserve">Convention No. 87 of the International </w:t>
      </w:r>
      <w:proofErr w:type="spellStart"/>
      <w:r w:rsidRPr="005E3072">
        <w:rPr>
          <w:rFonts w:ascii="Arial" w:eastAsia="Arial" w:hAnsi="Arial"/>
          <w:color w:val="000000"/>
        </w:rPr>
        <w:t>Labour</w:t>
      </w:r>
      <w:proofErr w:type="spellEnd"/>
      <w:r w:rsidRPr="005E3072">
        <w:rPr>
          <w:rFonts w:ascii="Arial" w:eastAsia="Arial" w:hAnsi="Arial"/>
          <w:color w:val="000000"/>
        </w:rPr>
        <w:t xml:space="preserve"> Organization of 9 July 1948 concerning Freedom of Association and Protection of the Right to </w:t>
      </w:r>
      <w:proofErr w:type="spellStart"/>
      <w:r w:rsidRPr="005E3072">
        <w:rPr>
          <w:rFonts w:ascii="Arial" w:eastAsia="Arial" w:hAnsi="Arial"/>
          <w:color w:val="000000"/>
        </w:rPr>
        <w:t>Organise</w:t>
      </w:r>
      <w:proofErr w:type="spellEnd"/>
      <w:r w:rsidRPr="005E3072">
        <w:rPr>
          <w:rFonts w:ascii="Arial" w:eastAsia="Arial" w:hAnsi="Arial"/>
          <w:color w:val="000000"/>
        </w:rPr>
        <w:t>, as amended by the Convention of 26 June 1961 (ILO Convention No. 87; available at:</w:t>
      </w:r>
      <w:r w:rsidRPr="005E3072">
        <w:rPr>
          <w:rFonts w:ascii="Arial" w:eastAsia="Arial" w:hAnsi="Arial"/>
          <w:color w:val="0000FF"/>
          <w:u w:val="single"/>
        </w:rPr>
        <w:t xml:space="preserve"> Convention C087 - Freedom of Association and Protection of the Right to </w:t>
      </w:r>
      <w:proofErr w:type="spellStart"/>
      <w:r w:rsidRPr="005E3072">
        <w:rPr>
          <w:rFonts w:ascii="Arial" w:eastAsia="Arial" w:hAnsi="Arial"/>
          <w:color w:val="0000FF"/>
          <w:u w:val="single"/>
        </w:rPr>
        <w:t>Organise</w:t>
      </w:r>
      <w:proofErr w:type="spellEnd"/>
      <w:r w:rsidRPr="005E3072">
        <w:rPr>
          <w:rFonts w:ascii="Arial" w:eastAsia="Arial" w:hAnsi="Arial"/>
          <w:color w:val="0000FF"/>
          <w:u w:val="single"/>
        </w:rPr>
        <w:t xml:space="preserve"> Convention, 1948 (No. 87) (</w:t>
      </w:r>
      <w:hyperlink r:id="rId16">
        <w:r w:rsidRPr="005E3072">
          <w:rPr>
            <w:rFonts w:ascii="Arial" w:eastAsia="Arial" w:hAnsi="Arial"/>
            <w:color w:val="0000FF"/>
            <w:u w:val="single"/>
          </w:rPr>
          <w:t>ilo.org</w:t>
        </w:r>
      </w:hyperlink>
      <w:r w:rsidRPr="005E3072">
        <w:rPr>
          <w:rFonts w:ascii="Arial" w:eastAsia="Arial" w:hAnsi="Arial"/>
          <w:color w:val="0000FF"/>
          <w:u w:val="single"/>
        </w:rPr>
        <w:t>)</w:t>
      </w:r>
      <w:r w:rsidRPr="005E3072">
        <w:rPr>
          <w:rFonts w:ascii="Arial" w:eastAsia="Arial" w:hAnsi="Arial"/>
          <w:color w:val="0000FF"/>
        </w:rPr>
        <w:t>);</w:t>
      </w:r>
      <w:r w:rsidRPr="005E3072">
        <w:rPr>
          <w:rFonts w:ascii="Arial" w:eastAsia="Arial" w:hAnsi="Arial"/>
          <w:color w:val="0000FF"/>
          <w:u w:val="single"/>
        </w:rPr>
        <w:t xml:space="preserve"> </w:t>
      </w:r>
    </w:p>
    <w:p w14:paraId="2BAA8E86" w14:textId="77777777" w:rsidR="006A5DAD" w:rsidRPr="005E3072" w:rsidRDefault="006A5DAD" w:rsidP="006A5DAD">
      <w:pPr>
        <w:spacing w:before="240" w:line="253" w:lineRule="exact"/>
        <w:ind w:left="720"/>
        <w:jc w:val="both"/>
        <w:textAlignment w:val="baseline"/>
        <w:rPr>
          <w:rFonts w:ascii="Arial" w:eastAsia="Arial" w:hAnsi="Arial"/>
          <w:color w:val="000000"/>
        </w:rPr>
      </w:pPr>
      <w:r w:rsidRPr="005E3072">
        <w:rPr>
          <w:rFonts w:ascii="Arial" w:eastAsia="Arial" w:hAnsi="Arial"/>
          <w:color w:val="000000"/>
        </w:rPr>
        <w:t xml:space="preserve">Convention No. 98 of the International </w:t>
      </w:r>
      <w:proofErr w:type="spellStart"/>
      <w:r w:rsidRPr="005E3072">
        <w:rPr>
          <w:rFonts w:ascii="Arial" w:eastAsia="Arial" w:hAnsi="Arial"/>
          <w:color w:val="000000"/>
        </w:rPr>
        <w:t>Labour</w:t>
      </w:r>
      <w:proofErr w:type="spellEnd"/>
      <w:r w:rsidRPr="005E3072">
        <w:rPr>
          <w:rFonts w:ascii="Arial" w:eastAsia="Arial" w:hAnsi="Arial"/>
          <w:color w:val="000000"/>
        </w:rPr>
        <w:t xml:space="preserve"> Organization of 1 July 1949 concerning the Application of the Principles of the Right to </w:t>
      </w:r>
      <w:proofErr w:type="spellStart"/>
      <w:r w:rsidRPr="005E3072">
        <w:rPr>
          <w:rFonts w:ascii="Arial" w:eastAsia="Arial" w:hAnsi="Arial"/>
          <w:color w:val="000000"/>
        </w:rPr>
        <w:t>Organise</w:t>
      </w:r>
      <w:proofErr w:type="spellEnd"/>
      <w:r w:rsidRPr="005E3072">
        <w:rPr>
          <w:rFonts w:ascii="Arial" w:eastAsia="Arial" w:hAnsi="Arial"/>
          <w:color w:val="000000"/>
        </w:rPr>
        <w:t xml:space="preserve"> and to Bargain Collectively, as amended by the Convention of 26 June 1961 (ILO Convention No. 98; available at:</w:t>
      </w:r>
      <w:r w:rsidRPr="005E3072">
        <w:rPr>
          <w:rFonts w:ascii="Arial" w:eastAsia="Arial" w:hAnsi="Arial"/>
          <w:color w:val="0000FF"/>
          <w:u w:val="single"/>
        </w:rPr>
        <w:t xml:space="preserve"> Convention C098 - Right to </w:t>
      </w:r>
      <w:proofErr w:type="spellStart"/>
      <w:r w:rsidRPr="005E3072">
        <w:rPr>
          <w:rFonts w:ascii="Arial" w:eastAsia="Arial" w:hAnsi="Arial"/>
          <w:color w:val="0000FF"/>
          <w:u w:val="single"/>
        </w:rPr>
        <w:t>Organise</w:t>
      </w:r>
      <w:proofErr w:type="spellEnd"/>
      <w:r w:rsidRPr="005E3072">
        <w:rPr>
          <w:rFonts w:ascii="Arial" w:eastAsia="Arial" w:hAnsi="Arial"/>
          <w:color w:val="0000FF"/>
          <w:u w:val="single"/>
        </w:rPr>
        <w:t xml:space="preserve"> and Collective  Bargaining Convention, 1949 (No. 98) (</w:t>
      </w:r>
      <w:hyperlink r:id="rId17">
        <w:r w:rsidRPr="005E3072">
          <w:rPr>
            <w:rFonts w:ascii="Arial" w:eastAsia="Arial" w:hAnsi="Arial"/>
            <w:color w:val="0000FF"/>
            <w:u w:val="single"/>
          </w:rPr>
          <w:t>ilo.org</w:t>
        </w:r>
      </w:hyperlink>
      <w:r w:rsidRPr="005E3072">
        <w:rPr>
          <w:rFonts w:ascii="Arial" w:eastAsia="Arial" w:hAnsi="Arial"/>
          <w:color w:val="0000FF"/>
          <w:u w:val="single"/>
        </w:rPr>
        <w:t>)</w:t>
      </w:r>
      <w:r w:rsidRPr="005E3072">
        <w:rPr>
          <w:rFonts w:ascii="Arial" w:eastAsia="Arial" w:hAnsi="Arial"/>
          <w:color w:val="0000FF"/>
        </w:rPr>
        <w:t>);</w:t>
      </w:r>
      <w:r w:rsidRPr="005E3072">
        <w:rPr>
          <w:rFonts w:ascii="Arial" w:eastAsia="Arial" w:hAnsi="Arial"/>
          <w:color w:val="0000FF"/>
          <w:u w:val="single"/>
        </w:rPr>
        <w:t xml:space="preserve"> </w:t>
      </w:r>
    </w:p>
    <w:p w14:paraId="492A7622" w14:textId="77777777" w:rsidR="006A5DAD" w:rsidRPr="005E3072" w:rsidRDefault="006A5DAD" w:rsidP="006A5DAD">
      <w:pPr>
        <w:spacing w:before="240" w:line="253" w:lineRule="exact"/>
        <w:ind w:left="720"/>
        <w:jc w:val="both"/>
        <w:textAlignment w:val="baseline"/>
        <w:rPr>
          <w:rFonts w:ascii="Arial" w:eastAsia="Arial" w:hAnsi="Arial"/>
          <w:color w:val="000000"/>
        </w:rPr>
      </w:pPr>
      <w:r w:rsidRPr="005E3072">
        <w:rPr>
          <w:rFonts w:ascii="Arial" w:eastAsia="Arial" w:hAnsi="Arial"/>
          <w:color w:val="000000"/>
        </w:rPr>
        <w:t xml:space="preserve">Convention No. 100 of the International </w:t>
      </w:r>
      <w:proofErr w:type="spellStart"/>
      <w:r w:rsidRPr="005E3072">
        <w:rPr>
          <w:rFonts w:ascii="Arial" w:eastAsia="Arial" w:hAnsi="Arial"/>
          <w:color w:val="000000"/>
        </w:rPr>
        <w:t>Labour</w:t>
      </w:r>
      <w:proofErr w:type="spellEnd"/>
      <w:r w:rsidRPr="005E3072">
        <w:rPr>
          <w:rFonts w:ascii="Arial" w:eastAsia="Arial" w:hAnsi="Arial"/>
          <w:color w:val="000000"/>
        </w:rPr>
        <w:t xml:space="preserve"> Organization of 29 June 1951 concerning Equal Remuneration for Men and Women Workers for Work of Equal Value (ILO Convention No. 100; available at:</w:t>
      </w:r>
      <w:r w:rsidRPr="005E3072">
        <w:rPr>
          <w:rFonts w:ascii="Arial" w:eastAsia="Arial" w:hAnsi="Arial"/>
          <w:color w:val="0000FF"/>
          <w:u w:val="single"/>
        </w:rPr>
        <w:t xml:space="preserve"> Convention C100 - Equal Remuneration Convention, 1951 (No. 100) (</w:t>
      </w:r>
      <w:hyperlink r:id="rId18">
        <w:r w:rsidRPr="005E3072">
          <w:rPr>
            <w:rFonts w:ascii="Arial" w:eastAsia="Arial" w:hAnsi="Arial"/>
            <w:color w:val="0000FF"/>
            <w:u w:val="single"/>
          </w:rPr>
          <w:t>ilo.org</w:t>
        </w:r>
      </w:hyperlink>
      <w:r w:rsidRPr="005E3072">
        <w:rPr>
          <w:rFonts w:ascii="Arial" w:eastAsia="Arial" w:hAnsi="Arial"/>
          <w:color w:val="0000FF"/>
          <w:u w:val="single"/>
        </w:rPr>
        <w:t>)</w:t>
      </w:r>
      <w:r w:rsidRPr="005E3072">
        <w:rPr>
          <w:rFonts w:ascii="Arial" w:eastAsia="Arial" w:hAnsi="Arial"/>
          <w:color w:val="0000FF"/>
        </w:rPr>
        <w:t>);</w:t>
      </w:r>
      <w:r w:rsidRPr="005E3072">
        <w:rPr>
          <w:rFonts w:ascii="Arial" w:eastAsia="Arial" w:hAnsi="Arial"/>
          <w:color w:val="0000FF"/>
          <w:u w:val="single"/>
        </w:rPr>
        <w:t xml:space="preserve"> </w:t>
      </w:r>
    </w:p>
    <w:p w14:paraId="7D02CCD1" w14:textId="77777777" w:rsidR="006A5DAD" w:rsidRPr="005E3072" w:rsidRDefault="006A5DAD" w:rsidP="006A5DAD">
      <w:pPr>
        <w:spacing w:before="239" w:line="253" w:lineRule="exact"/>
        <w:ind w:left="720"/>
        <w:jc w:val="both"/>
        <w:textAlignment w:val="baseline"/>
        <w:rPr>
          <w:rFonts w:ascii="Arial" w:eastAsia="Arial" w:hAnsi="Arial"/>
          <w:color w:val="000000"/>
        </w:rPr>
      </w:pPr>
      <w:r w:rsidRPr="005E3072">
        <w:rPr>
          <w:rFonts w:ascii="Arial" w:eastAsia="Arial" w:hAnsi="Arial"/>
          <w:color w:val="000000"/>
        </w:rPr>
        <w:t xml:space="preserve">Convention No. 105 of the International </w:t>
      </w:r>
      <w:proofErr w:type="spellStart"/>
      <w:r w:rsidRPr="005E3072">
        <w:rPr>
          <w:rFonts w:ascii="Arial" w:eastAsia="Arial" w:hAnsi="Arial"/>
          <w:color w:val="000000"/>
        </w:rPr>
        <w:t>Labour</w:t>
      </w:r>
      <w:proofErr w:type="spellEnd"/>
      <w:r w:rsidRPr="005E3072">
        <w:rPr>
          <w:rFonts w:ascii="Arial" w:eastAsia="Arial" w:hAnsi="Arial"/>
          <w:color w:val="000000"/>
        </w:rPr>
        <w:t xml:space="preserve"> Organization of 25 June 1957 concerning the Abolition of Forced </w:t>
      </w:r>
      <w:proofErr w:type="spellStart"/>
      <w:r w:rsidRPr="005E3072">
        <w:rPr>
          <w:rFonts w:ascii="Arial" w:eastAsia="Arial" w:hAnsi="Arial"/>
          <w:color w:val="000000"/>
        </w:rPr>
        <w:t>Labour</w:t>
      </w:r>
      <w:proofErr w:type="spellEnd"/>
      <w:r w:rsidRPr="005E3072">
        <w:rPr>
          <w:rFonts w:ascii="Arial" w:eastAsia="Arial" w:hAnsi="Arial"/>
          <w:color w:val="000000"/>
        </w:rPr>
        <w:t xml:space="preserve"> (ILO Convention No. 105; available at:</w:t>
      </w:r>
      <w:r w:rsidRPr="005E3072">
        <w:rPr>
          <w:rFonts w:ascii="Arial" w:eastAsia="Arial" w:hAnsi="Arial"/>
          <w:color w:val="0000FF"/>
          <w:u w:val="single"/>
        </w:rPr>
        <w:t xml:space="preserve"> Convention C105 - Abolition of Forced </w:t>
      </w:r>
      <w:proofErr w:type="spellStart"/>
      <w:r w:rsidRPr="005E3072">
        <w:rPr>
          <w:rFonts w:ascii="Arial" w:eastAsia="Arial" w:hAnsi="Arial"/>
          <w:color w:val="0000FF"/>
          <w:u w:val="single"/>
        </w:rPr>
        <w:t>Labour</w:t>
      </w:r>
      <w:proofErr w:type="spellEnd"/>
      <w:r w:rsidRPr="005E3072">
        <w:rPr>
          <w:rFonts w:ascii="Arial" w:eastAsia="Arial" w:hAnsi="Arial"/>
          <w:color w:val="0000FF"/>
          <w:u w:val="single"/>
        </w:rPr>
        <w:t xml:space="preserve"> Convention, 1957 (No. 105) (</w:t>
      </w:r>
      <w:hyperlink r:id="rId19">
        <w:r w:rsidRPr="005E3072">
          <w:rPr>
            <w:rFonts w:ascii="Arial" w:eastAsia="Arial" w:hAnsi="Arial"/>
            <w:color w:val="0000FF"/>
            <w:u w:val="single"/>
          </w:rPr>
          <w:t>ilo.org</w:t>
        </w:r>
      </w:hyperlink>
      <w:r w:rsidRPr="005E3072">
        <w:rPr>
          <w:rFonts w:ascii="Arial" w:eastAsia="Arial" w:hAnsi="Arial"/>
          <w:color w:val="0000FF"/>
          <w:u w:val="single"/>
        </w:rPr>
        <w:t>)</w:t>
      </w:r>
      <w:r w:rsidRPr="005E3072">
        <w:rPr>
          <w:rFonts w:ascii="Arial" w:eastAsia="Arial" w:hAnsi="Arial"/>
          <w:color w:val="0000FF"/>
        </w:rPr>
        <w:t>);</w:t>
      </w:r>
      <w:r w:rsidRPr="005E3072">
        <w:rPr>
          <w:rFonts w:ascii="Arial" w:eastAsia="Arial" w:hAnsi="Arial"/>
          <w:color w:val="0000FF"/>
          <w:u w:val="single"/>
        </w:rPr>
        <w:t xml:space="preserve"> </w:t>
      </w:r>
    </w:p>
    <w:p w14:paraId="6F785F4A" w14:textId="77777777" w:rsidR="006A5DAD" w:rsidRPr="005E3072" w:rsidRDefault="006A5DAD" w:rsidP="006A5DAD">
      <w:pPr>
        <w:spacing w:before="240" w:line="253" w:lineRule="exact"/>
        <w:ind w:left="720"/>
        <w:jc w:val="both"/>
        <w:textAlignment w:val="baseline"/>
        <w:rPr>
          <w:rFonts w:ascii="Arial" w:eastAsia="Arial" w:hAnsi="Arial"/>
          <w:color w:val="000000"/>
        </w:rPr>
      </w:pPr>
      <w:r w:rsidRPr="005E3072">
        <w:rPr>
          <w:rFonts w:ascii="Arial" w:eastAsia="Arial" w:hAnsi="Arial"/>
          <w:color w:val="000000"/>
        </w:rPr>
        <w:t xml:space="preserve">Convention No. 111 of the International </w:t>
      </w:r>
      <w:proofErr w:type="spellStart"/>
      <w:r w:rsidRPr="005E3072">
        <w:rPr>
          <w:rFonts w:ascii="Arial" w:eastAsia="Arial" w:hAnsi="Arial"/>
          <w:color w:val="000000"/>
        </w:rPr>
        <w:t>Labour</w:t>
      </w:r>
      <w:proofErr w:type="spellEnd"/>
      <w:r w:rsidRPr="005E3072">
        <w:rPr>
          <w:rFonts w:ascii="Arial" w:eastAsia="Arial" w:hAnsi="Arial"/>
          <w:color w:val="000000"/>
        </w:rPr>
        <w:t xml:space="preserve"> Organization of 25 June 1958 concerning Discrimination in Respect of Employment and Occupation (ILO Convention No. 111; available at:</w:t>
      </w:r>
      <w:r w:rsidRPr="005E3072">
        <w:rPr>
          <w:rFonts w:ascii="Arial" w:eastAsia="Arial" w:hAnsi="Arial"/>
          <w:color w:val="0000FF"/>
          <w:u w:val="single"/>
        </w:rPr>
        <w:t xml:space="preserve"> Convention C111 - Discrimination (Employment and Occupation) Convention, 1958 (No. 111) (</w:t>
      </w:r>
      <w:hyperlink r:id="rId20">
        <w:r w:rsidRPr="005E3072">
          <w:rPr>
            <w:rFonts w:ascii="Arial" w:eastAsia="Arial" w:hAnsi="Arial"/>
            <w:color w:val="0000FF"/>
            <w:u w:val="single"/>
          </w:rPr>
          <w:t>ilo.org</w:t>
        </w:r>
      </w:hyperlink>
      <w:r w:rsidRPr="005E3072">
        <w:rPr>
          <w:rFonts w:ascii="Arial" w:eastAsia="Arial" w:hAnsi="Arial"/>
          <w:color w:val="0000FF"/>
          <w:u w:val="single"/>
        </w:rPr>
        <w:t>)</w:t>
      </w:r>
      <w:r w:rsidRPr="005E3072">
        <w:rPr>
          <w:rFonts w:ascii="Arial" w:eastAsia="Arial" w:hAnsi="Arial"/>
          <w:color w:val="0000FF"/>
        </w:rPr>
        <w:t>);</w:t>
      </w:r>
      <w:r w:rsidRPr="005E3072">
        <w:rPr>
          <w:rFonts w:ascii="Arial" w:eastAsia="Arial" w:hAnsi="Arial"/>
          <w:color w:val="0000FF"/>
          <w:u w:val="single"/>
        </w:rPr>
        <w:t xml:space="preserve"> </w:t>
      </w:r>
    </w:p>
    <w:p w14:paraId="77EC9357" w14:textId="77777777" w:rsidR="006A5DAD" w:rsidRPr="005E3072" w:rsidRDefault="006A5DAD" w:rsidP="006A5DAD">
      <w:pPr>
        <w:spacing w:before="239" w:line="253" w:lineRule="exact"/>
        <w:ind w:left="720"/>
        <w:jc w:val="both"/>
        <w:textAlignment w:val="baseline"/>
        <w:rPr>
          <w:rFonts w:ascii="Arial" w:eastAsia="Arial" w:hAnsi="Arial"/>
          <w:color w:val="000000"/>
        </w:rPr>
      </w:pPr>
      <w:r w:rsidRPr="005E3072">
        <w:rPr>
          <w:rFonts w:ascii="Arial" w:eastAsia="Arial" w:hAnsi="Arial"/>
          <w:color w:val="000000"/>
        </w:rPr>
        <w:t xml:space="preserve">Convention No. 138 of the International </w:t>
      </w:r>
      <w:proofErr w:type="spellStart"/>
      <w:r w:rsidRPr="005E3072">
        <w:rPr>
          <w:rFonts w:ascii="Arial" w:eastAsia="Arial" w:hAnsi="Arial"/>
          <w:color w:val="000000"/>
        </w:rPr>
        <w:t>Labour</w:t>
      </w:r>
      <w:proofErr w:type="spellEnd"/>
      <w:r w:rsidRPr="005E3072">
        <w:rPr>
          <w:rFonts w:ascii="Arial" w:eastAsia="Arial" w:hAnsi="Arial"/>
          <w:color w:val="000000"/>
        </w:rPr>
        <w:t xml:space="preserve"> Organization of 26 June 1973 concerning the Minimum Age for Admission to Employment (ILO Convention No. 138; available at:</w:t>
      </w:r>
      <w:r w:rsidRPr="005E3072">
        <w:rPr>
          <w:rFonts w:ascii="Arial" w:eastAsia="Arial" w:hAnsi="Arial"/>
          <w:color w:val="0000FF"/>
          <w:u w:val="single"/>
        </w:rPr>
        <w:t xml:space="preserve"> Convention C138 - Minimum Age Convention, 1973 (No. 138) (</w:t>
      </w:r>
      <w:hyperlink r:id="rId21">
        <w:r w:rsidRPr="005E3072">
          <w:rPr>
            <w:rFonts w:ascii="Arial" w:eastAsia="Arial" w:hAnsi="Arial"/>
            <w:color w:val="0000FF"/>
            <w:u w:val="single"/>
          </w:rPr>
          <w:t>ilo.org</w:t>
        </w:r>
      </w:hyperlink>
      <w:r w:rsidRPr="005E3072">
        <w:rPr>
          <w:rFonts w:ascii="Arial" w:eastAsia="Arial" w:hAnsi="Arial"/>
          <w:color w:val="0000FF"/>
          <w:u w:val="single"/>
        </w:rPr>
        <w:t>)</w:t>
      </w:r>
      <w:r w:rsidRPr="005E3072">
        <w:rPr>
          <w:rFonts w:ascii="Arial" w:eastAsia="Arial" w:hAnsi="Arial"/>
          <w:color w:val="0000FF"/>
        </w:rPr>
        <w:t>);</w:t>
      </w:r>
      <w:r w:rsidRPr="005E3072">
        <w:rPr>
          <w:rFonts w:ascii="Arial" w:eastAsia="Arial" w:hAnsi="Arial"/>
          <w:color w:val="0000FF"/>
          <w:u w:val="single"/>
        </w:rPr>
        <w:t xml:space="preserve"> </w:t>
      </w:r>
    </w:p>
    <w:p w14:paraId="49DD5B61" w14:textId="77777777" w:rsidR="006A5DAD" w:rsidRPr="005E3072" w:rsidRDefault="006A5DAD" w:rsidP="006A5DAD">
      <w:pPr>
        <w:spacing w:before="244" w:line="253" w:lineRule="exact"/>
        <w:ind w:left="720"/>
        <w:jc w:val="both"/>
        <w:textAlignment w:val="baseline"/>
        <w:rPr>
          <w:rFonts w:ascii="Arial" w:eastAsia="Arial" w:hAnsi="Arial"/>
          <w:color w:val="000000"/>
          <w:spacing w:val="-1"/>
        </w:rPr>
      </w:pPr>
      <w:r w:rsidRPr="005E3072">
        <w:rPr>
          <w:rFonts w:ascii="Arial" w:eastAsia="Arial" w:hAnsi="Arial"/>
          <w:color w:val="000000"/>
          <w:spacing w:val="-1"/>
        </w:rPr>
        <w:t xml:space="preserve">Convention No. 182 of the International </w:t>
      </w:r>
      <w:proofErr w:type="spellStart"/>
      <w:r w:rsidRPr="005E3072">
        <w:rPr>
          <w:rFonts w:ascii="Arial" w:eastAsia="Arial" w:hAnsi="Arial"/>
          <w:color w:val="000000"/>
          <w:spacing w:val="-1"/>
        </w:rPr>
        <w:t>Labour</w:t>
      </w:r>
      <w:proofErr w:type="spellEnd"/>
      <w:r w:rsidRPr="005E3072">
        <w:rPr>
          <w:rFonts w:ascii="Arial" w:eastAsia="Arial" w:hAnsi="Arial"/>
          <w:color w:val="000000"/>
          <w:spacing w:val="-1"/>
        </w:rPr>
        <w:t xml:space="preserve"> Organization of 17 June 1999 concerning the Prohibition and Immediate Action for the Elimination of the Worst Forms of Child </w:t>
      </w:r>
      <w:proofErr w:type="spellStart"/>
      <w:r w:rsidRPr="005E3072">
        <w:rPr>
          <w:rFonts w:ascii="Arial" w:eastAsia="Arial" w:hAnsi="Arial"/>
          <w:color w:val="000000"/>
          <w:spacing w:val="-1"/>
        </w:rPr>
        <w:t>Labour</w:t>
      </w:r>
      <w:proofErr w:type="spellEnd"/>
      <w:r w:rsidRPr="005E3072">
        <w:rPr>
          <w:rFonts w:ascii="Arial" w:eastAsia="Arial" w:hAnsi="Arial"/>
          <w:color w:val="000000"/>
          <w:spacing w:val="-1"/>
        </w:rPr>
        <w:t xml:space="preserve"> (ILO Convention No. 182; available at:</w:t>
      </w:r>
      <w:r w:rsidRPr="005E3072">
        <w:rPr>
          <w:rFonts w:ascii="Arial" w:eastAsia="Arial" w:hAnsi="Arial"/>
          <w:color w:val="0000FF"/>
          <w:spacing w:val="-1"/>
          <w:u w:val="single"/>
        </w:rPr>
        <w:t xml:space="preserve"> Convention C182 - Worst Forms of Child </w:t>
      </w:r>
      <w:proofErr w:type="spellStart"/>
      <w:r w:rsidRPr="005E3072">
        <w:rPr>
          <w:rFonts w:ascii="Arial" w:eastAsia="Arial" w:hAnsi="Arial"/>
          <w:color w:val="0000FF"/>
          <w:spacing w:val="-1"/>
          <w:u w:val="single"/>
        </w:rPr>
        <w:t>Labour</w:t>
      </w:r>
      <w:proofErr w:type="spellEnd"/>
      <w:r w:rsidRPr="005E3072">
        <w:rPr>
          <w:rFonts w:ascii="Arial" w:eastAsia="Arial" w:hAnsi="Arial"/>
          <w:color w:val="0000FF"/>
          <w:spacing w:val="-1"/>
          <w:u w:val="single"/>
        </w:rPr>
        <w:t xml:space="preserve"> Convention, 1999 (No. 182) (</w:t>
      </w:r>
      <w:hyperlink r:id="rId22">
        <w:r w:rsidRPr="005E3072">
          <w:rPr>
            <w:rFonts w:ascii="Arial" w:eastAsia="Arial" w:hAnsi="Arial"/>
            <w:color w:val="0000FF"/>
            <w:spacing w:val="-1"/>
            <w:u w:val="single"/>
          </w:rPr>
          <w:t>ilo.org</w:t>
        </w:r>
      </w:hyperlink>
      <w:r w:rsidRPr="005E3072">
        <w:rPr>
          <w:rFonts w:ascii="Arial" w:eastAsia="Arial" w:hAnsi="Arial"/>
          <w:color w:val="0000FF"/>
          <w:spacing w:val="-1"/>
          <w:u w:val="single"/>
        </w:rPr>
        <w:t>)</w:t>
      </w:r>
      <w:r w:rsidRPr="005E3072">
        <w:rPr>
          <w:rFonts w:ascii="Arial" w:eastAsia="Arial" w:hAnsi="Arial"/>
          <w:color w:val="0000FF"/>
          <w:spacing w:val="-1"/>
        </w:rPr>
        <w:t>).</w:t>
      </w:r>
      <w:r w:rsidRPr="005E3072">
        <w:rPr>
          <w:rFonts w:ascii="Arial" w:eastAsia="Arial" w:hAnsi="Arial"/>
          <w:color w:val="0000FF"/>
          <w:spacing w:val="-1"/>
          <w:u w:val="single"/>
        </w:rPr>
        <w:t xml:space="preserve"> </w:t>
      </w:r>
    </w:p>
    <w:p w14:paraId="4C076BEF" w14:textId="77777777" w:rsidR="006A5DAD" w:rsidRPr="005E3072" w:rsidRDefault="006A5DAD" w:rsidP="006A5DAD">
      <w:pPr>
        <w:spacing w:before="236" w:line="254" w:lineRule="exact"/>
        <w:ind w:left="720"/>
        <w:jc w:val="both"/>
        <w:textAlignment w:val="baseline"/>
        <w:rPr>
          <w:rFonts w:ascii="Arial" w:eastAsia="Arial" w:hAnsi="Arial"/>
          <w:color w:val="000000"/>
        </w:rPr>
      </w:pPr>
      <w:r w:rsidRPr="005E3072">
        <w:rPr>
          <w:rFonts w:ascii="Arial" w:eastAsia="Arial" w:hAnsi="Arial"/>
          <w:color w:val="000000"/>
        </w:rPr>
        <w:t>International Covenant of 19 December 1966 on Civil and Political Rights (available at:</w:t>
      </w:r>
      <w:r w:rsidRPr="005E3072">
        <w:rPr>
          <w:rFonts w:ascii="Arial" w:eastAsia="Arial" w:hAnsi="Arial"/>
          <w:color w:val="0000FF"/>
          <w:u w:val="single"/>
        </w:rPr>
        <w:t xml:space="preserve"> volume-999-i-14668-english.pdf (</w:t>
      </w:r>
      <w:hyperlink r:id="rId23">
        <w:r w:rsidRPr="005E3072">
          <w:rPr>
            <w:rFonts w:ascii="Arial" w:eastAsia="Arial" w:hAnsi="Arial"/>
            <w:color w:val="0000FF"/>
            <w:u w:val="single"/>
          </w:rPr>
          <w:t>un.org</w:t>
        </w:r>
      </w:hyperlink>
      <w:r w:rsidRPr="005E3072">
        <w:rPr>
          <w:rFonts w:ascii="Arial" w:eastAsia="Arial" w:hAnsi="Arial"/>
          <w:color w:val="0000FF"/>
          <w:u w:val="single"/>
        </w:rPr>
        <w:t>)</w:t>
      </w:r>
      <w:r w:rsidRPr="005E3072">
        <w:rPr>
          <w:rFonts w:ascii="Arial" w:eastAsia="Arial" w:hAnsi="Arial"/>
          <w:color w:val="0000FF"/>
        </w:rPr>
        <w:t>);</w:t>
      </w:r>
      <w:r w:rsidRPr="005E3072">
        <w:rPr>
          <w:rFonts w:ascii="Arial" w:eastAsia="Arial" w:hAnsi="Arial"/>
          <w:color w:val="0000FF"/>
          <w:u w:val="single"/>
        </w:rPr>
        <w:t xml:space="preserve"> </w:t>
      </w:r>
    </w:p>
    <w:p w14:paraId="53C4858B" w14:textId="77777777" w:rsidR="006A5DAD" w:rsidRPr="005E3072" w:rsidRDefault="006A5DAD" w:rsidP="006A5DAD">
      <w:pPr>
        <w:spacing w:before="242" w:line="253" w:lineRule="exact"/>
        <w:ind w:left="720"/>
        <w:jc w:val="both"/>
        <w:textAlignment w:val="baseline"/>
        <w:rPr>
          <w:rFonts w:ascii="Arial" w:eastAsia="Arial" w:hAnsi="Arial"/>
          <w:color w:val="000000"/>
        </w:rPr>
      </w:pPr>
      <w:r w:rsidRPr="005E3072">
        <w:rPr>
          <w:rFonts w:ascii="Arial" w:eastAsia="Arial" w:hAnsi="Arial"/>
          <w:color w:val="000000"/>
        </w:rPr>
        <w:t xml:space="preserve">International Covenant of 19 December 1966 on Economic Social and Cultural Rights (available at: </w:t>
      </w:r>
      <w:r w:rsidRPr="005E3072">
        <w:rPr>
          <w:rFonts w:ascii="Arial" w:eastAsia="Arial" w:hAnsi="Arial"/>
          <w:color w:val="0000FF"/>
          <w:u w:val="single"/>
        </w:rPr>
        <w:t>ch_iv_03.pdf (</w:t>
      </w:r>
      <w:hyperlink r:id="rId24">
        <w:r w:rsidRPr="005E3072">
          <w:rPr>
            <w:rFonts w:ascii="Arial" w:eastAsia="Arial" w:hAnsi="Arial"/>
            <w:color w:val="0000FF"/>
            <w:u w:val="single"/>
          </w:rPr>
          <w:t>un.org</w:t>
        </w:r>
      </w:hyperlink>
      <w:r w:rsidRPr="005E3072">
        <w:rPr>
          <w:rFonts w:ascii="Arial" w:eastAsia="Arial" w:hAnsi="Arial"/>
          <w:color w:val="0000FF"/>
          <w:u w:val="single"/>
        </w:rPr>
        <w:t>)</w:t>
      </w:r>
      <w:r w:rsidRPr="005E3072">
        <w:rPr>
          <w:rFonts w:ascii="Arial" w:eastAsia="Arial" w:hAnsi="Arial"/>
          <w:color w:val="0000FF"/>
        </w:rPr>
        <w:t>);</w:t>
      </w:r>
      <w:r w:rsidRPr="005E3072">
        <w:rPr>
          <w:rFonts w:ascii="Arial" w:eastAsia="Arial" w:hAnsi="Arial"/>
          <w:color w:val="0000FF"/>
          <w:u w:val="single"/>
        </w:rPr>
        <w:t xml:space="preserve"> </w:t>
      </w:r>
    </w:p>
    <w:p w14:paraId="3543F78B" w14:textId="77777777" w:rsidR="006A5DAD" w:rsidRPr="005E3072" w:rsidRDefault="006A5DAD" w:rsidP="006A5DAD">
      <w:pPr>
        <w:spacing w:before="237" w:line="254" w:lineRule="exact"/>
        <w:ind w:left="720"/>
        <w:jc w:val="both"/>
        <w:textAlignment w:val="baseline"/>
        <w:rPr>
          <w:rFonts w:ascii="Arial" w:eastAsia="Arial" w:hAnsi="Arial"/>
          <w:color w:val="000000"/>
        </w:rPr>
      </w:pPr>
      <w:r w:rsidRPr="005E3072">
        <w:rPr>
          <w:rFonts w:ascii="Arial" w:eastAsia="Arial" w:hAnsi="Arial"/>
          <w:color w:val="000000"/>
        </w:rPr>
        <w:t>Minamata Convention on Mercury of 13 October 2013 (available at:</w:t>
      </w:r>
      <w:r w:rsidRPr="005E3072">
        <w:rPr>
          <w:rFonts w:ascii="Arial" w:eastAsia="Arial" w:hAnsi="Arial"/>
          <w:color w:val="0000FF"/>
          <w:u w:val="single"/>
        </w:rPr>
        <w:t xml:space="preserve"> Minamata Convention on Mercury (Text and Annexes) | Minamata Convention on Mercury</w:t>
      </w:r>
      <w:r w:rsidRPr="005E3072">
        <w:rPr>
          <w:rFonts w:ascii="Arial" w:eastAsia="Arial" w:hAnsi="Arial"/>
          <w:color w:val="0000FF"/>
        </w:rPr>
        <w:t>);</w:t>
      </w:r>
      <w:r w:rsidRPr="005E3072">
        <w:rPr>
          <w:rFonts w:ascii="Arial" w:eastAsia="Arial" w:hAnsi="Arial"/>
          <w:color w:val="0000FF"/>
          <w:u w:val="single"/>
        </w:rPr>
        <w:t xml:space="preserve"> </w:t>
      </w:r>
    </w:p>
    <w:p w14:paraId="0B7C655E" w14:textId="77777777" w:rsidR="006A5DAD" w:rsidRPr="005E3072" w:rsidRDefault="006A5DAD" w:rsidP="006A5DAD">
      <w:pPr>
        <w:spacing w:before="236" w:line="254" w:lineRule="exact"/>
        <w:ind w:left="720"/>
        <w:jc w:val="both"/>
        <w:textAlignment w:val="baseline"/>
        <w:rPr>
          <w:rFonts w:ascii="Arial" w:eastAsia="Arial" w:hAnsi="Arial"/>
          <w:color w:val="000000"/>
        </w:rPr>
      </w:pPr>
      <w:r w:rsidRPr="005E3072">
        <w:rPr>
          <w:rFonts w:ascii="Arial" w:eastAsia="Arial" w:hAnsi="Arial"/>
          <w:color w:val="000000"/>
        </w:rPr>
        <w:t>Stockholm Convention on Persistent Organic Pollutants of 22 May 2001 (available at:</w:t>
      </w:r>
      <w:r w:rsidRPr="005E3072">
        <w:rPr>
          <w:rFonts w:ascii="Arial" w:eastAsia="Arial" w:hAnsi="Arial"/>
          <w:color w:val="0000FF"/>
          <w:u w:val="single"/>
        </w:rPr>
        <w:t xml:space="preserve"> Text of the Convention (pops.int)</w:t>
      </w:r>
      <w:r w:rsidRPr="005E3072">
        <w:rPr>
          <w:rFonts w:ascii="Arial" w:eastAsia="Arial" w:hAnsi="Arial"/>
          <w:color w:val="0000FF"/>
        </w:rPr>
        <w:t>);</w:t>
      </w:r>
      <w:r w:rsidRPr="005E3072">
        <w:rPr>
          <w:rFonts w:ascii="Arial" w:eastAsia="Arial" w:hAnsi="Arial"/>
          <w:color w:val="0000FF"/>
          <w:u w:val="single"/>
        </w:rPr>
        <w:t xml:space="preserve"> </w:t>
      </w:r>
    </w:p>
    <w:p w14:paraId="3E4980C5" w14:textId="77777777" w:rsidR="006A5DAD" w:rsidRPr="005E3072" w:rsidRDefault="006A5DAD" w:rsidP="006A5DAD">
      <w:pPr>
        <w:spacing w:before="239" w:line="253" w:lineRule="exact"/>
        <w:ind w:left="720"/>
        <w:jc w:val="both"/>
        <w:textAlignment w:val="baseline"/>
        <w:rPr>
          <w:rFonts w:ascii="Arial" w:eastAsia="Arial" w:hAnsi="Arial"/>
          <w:color w:val="000000"/>
        </w:rPr>
      </w:pPr>
      <w:r w:rsidRPr="005E3072">
        <w:rPr>
          <w:rFonts w:ascii="Arial" w:eastAsia="Arial" w:hAnsi="Arial"/>
          <w:color w:val="000000"/>
        </w:rPr>
        <w:lastRenderedPageBreak/>
        <w:t>Basel Convention on the Control of Transboundary of Transboundary Movements of Hazardous Wastes and Their Disposal (available at:</w:t>
      </w:r>
      <w:r w:rsidRPr="005E3072">
        <w:rPr>
          <w:rFonts w:ascii="Arial" w:eastAsia="Arial" w:hAnsi="Arial"/>
          <w:color w:val="0000FF"/>
          <w:u w:val="single"/>
        </w:rPr>
        <w:t xml:space="preserve"> Basel Convention &gt; The Convention &gt; Overview &gt; Text of the Convention</w:t>
      </w:r>
      <w:r w:rsidRPr="005E3072">
        <w:rPr>
          <w:rFonts w:ascii="Arial" w:eastAsia="Arial" w:hAnsi="Arial"/>
          <w:color w:val="0000FF"/>
        </w:rPr>
        <w:t>).</w:t>
      </w:r>
      <w:r w:rsidRPr="005E3072">
        <w:rPr>
          <w:rFonts w:ascii="Arial" w:eastAsia="Arial" w:hAnsi="Arial"/>
          <w:color w:val="0000FF"/>
          <w:u w:val="single"/>
        </w:rPr>
        <w:t xml:space="preserve"> </w:t>
      </w:r>
    </w:p>
    <w:p w14:paraId="24DDD332" w14:textId="5394D405" w:rsidR="006A5DAD" w:rsidRPr="005E3072" w:rsidRDefault="006140D1" w:rsidP="00AA66B3">
      <w:pPr>
        <w:spacing w:before="245" w:line="251" w:lineRule="exact"/>
        <w:textAlignment w:val="baseline"/>
        <w:rPr>
          <w:rFonts w:ascii="Arial" w:eastAsia="Arial" w:hAnsi="Arial"/>
          <w:b/>
          <w:color w:val="000000"/>
        </w:rPr>
      </w:pPr>
      <w:r w:rsidRPr="005E3072">
        <w:rPr>
          <w:rFonts w:ascii="Arial" w:eastAsia="Arial" w:hAnsi="Arial"/>
          <w:b/>
          <w:color w:val="000000"/>
        </w:rPr>
        <w:br/>
      </w:r>
      <w:r w:rsidR="006A5DAD" w:rsidRPr="005E3072">
        <w:rPr>
          <w:rFonts w:ascii="Arial" w:eastAsia="Arial" w:hAnsi="Arial"/>
          <w:b/>
          <w:color w:val="000000"/>
        </w:rPr>
        <w:t>2. INFORMATION REQUESTS</w:t>
      </w:r>
    </w:p>
    <w:p w14:paraId="6CFBDF88" w14:textId="77777777" w:rsidR="006A5DAD" w:rsidRPr="005E3072" w:rsidRDefault="006A5DAD" w:rsidP="00AA66B3">
      <w:pPr>
        <w:spacing w:before="237" w:line="253" w:lineRule="exact"/>
        <w:jc w:val="both"/>
        <w:textAlignment w:val="baseline"/>
        <w:rPr>
          <w:rFonts w:ascii="Arial" w:eastAsia="Arial" w:hAnsi="Arial"/>
          <w:color w:val="000000"/>
        </w:rPr>
      </w:pPr>
      <w:r w:rsidRPr="005E3072">
        <w:rPr>
          <w:rFonts w:ascii="Arial" w:eastAsia="Arial" w:hAnsi="Arial"/>
          <w:color w:val="000000"/>
        </w:rPr>
        <w:t>Seller shall promptly provide any reasonable information requested by Buyer or its duly authorized representative from time to time in connection with Buyer’s compliance in relation to the Human Rights Instruments.</w:t>
      </w:r>
    </w:p>
    <w:p w14:paraId="3B565EDE" w14:textId="77777777" w:rsidR="006A5DAD" w:rsidRPr="005E3072" w:rsidRDefault="006A5DAD" w:rsidP="006A5DAD">
      <w:pPr>
        <w:spacing w:before="237" w:line="253" w:lineRule="exact"/>
        <w:ind w:firstLine="720"/>
        <w:jc w:val="both"/>
        <w:textAlignment w:val="baseline"/>
        <w:rPr>
          <w:rFonts w:ascii="Arial" w:eastAsia="Arial" w:hAnsi="Arial"/>
          <w:color w:val="000000"/>
        </w:rPr>
      </w:pPr>
    </w:p>
    <w:p w14:paraId="5EA531BB" w14:textId="77777777" w:rsidR="006A5DAD" w:rsidRPr="005E3072" w:rsidRDefault="006A5DAD" w:rsidP="00AA66B3">
      <w:pPr>
        <w:spacing w:before="2" w:line="251" w:lineRule="exact"/>
        <w:textAlignment w:val="baseline"/>
        <w:rPr>
          <w:rFonts w:ascii="Arial" w:eastAsia="Arial" w:hAnsi="Arial"/>
          <w:b/>
          <w:color w:val="000000"/>
        </w:rPr>
      </w:pPr>
      <w:r w:rsidRPr="005E3072">
        <w:rPr>
          <w:rFonts w:ascii="Arial" w:eastAsia="Arial" w:hAnsi="Arial"/>
          <w:b/>
          <w:color w:val="000000"/>
        </w:rPr>
        <w:t>3. HUMAN RIGHTS DUE DILIGENCE OBLIGATIONS</w:t>
      </w:r>
    </w:p>
    <w:p w14:paraId="11E13EFD" w14:textId="5C5F54A3" w:rsidR="00AA66B3" w:rsidRPr="005E3072" w:rsidRDefault="006A5DAD" w:rsidP="005A34E9">
      <w:pPr>
        <w:pStyle w:val="ListParagraph"/>
        <w:numPr>
          <w:ilvl w:val="0"/>
          <w:numId w:val="4"/>
        </w:numPr>
        <w:tabs>
          <w:tab w:val="left" w:pos="540"/>
          <w:tab w:val="left" w:pos="630"/>
          <w:tab w:val="left" w:pos="720"/>
        </w:tabs>
        <w:spacing w:before="242"/>
        <w:ind w:left="540" w:hanging="270"/>
        <w:jc w:val="both"/>
        <w:textAlignment w:val="baseline"/>
        <w:rPr>
          <w:rFonts w:ascii="Arial" w:eastAsia="Arial" w:hAnsi="Arial"/>
          <w:color w:val="000000"/>
        </w:rPr>
      </w:pPr>
      <w:r w:rsidRPr="005E3072">
        <w:rPr>
          <w:rFonts w:ascii="Arial" w:eastAsia="Arial" w:hAnsi="Arial"/>
          <w:color w:val="000000"/>
        </w:rPr>
        <w:t>Seller shall establish and maintain a human rights due diligence process appropriate to its size and circumstances to identify, prevent, and end or at least mitigate any violation of the rights and principles articulated and protected by the Human Rights Instruments within its supply chain.</w:t>
      </w:r>
    </w:p>
    <w:p w14:paraId="51CE3B10" w14:textId="77777777" w:rsidR="00AA66B3" w:rsidRPr="005E3072" w:rsidRDefault="00AA66B3" w:rsidP="005A34E9">
      <w:pPr>
        <w:pStyle w:val="ListParagraph"/>
        <w:tabs>
          <w:tab w:val="left" w:pos="540"/>
          <w:tab w:val="left" w:pos="630"/>
        </w:tabs>
        <w:spacing w:before="242"/>
        <w:ind w:left="540" w:hanging="270"/>
        <w:jc w:val="both"/>
        <w:textAlignment w:val="baseline"/>
        <w:rPr>
          <w:rFonts w:ascii="Arial" w:eastAsia="Arial" w:hAnsi="Arial"/>
          <w:color w:val="000000"/>
        </w:rPr>
      </w:pPr>
    </w:p>
    <w:p w14:paraId="668412C2" w14:textId="73ED4F15" w:rsidR="00AA66B3" w:rsidRPr="005E3072" w:rsidRDefault="006A5DAD" w:rsidP="005A34E9">
      <w:pPr>
        <w:pStyle w:val="ListParagraph"/>
        <w:numPr>
          <w:ilvl w:val="0"/>
          <w:numId w:val="4"/>
        </w:numPr>
        <w:tabs>
          <w:tab w:val="left" w:pos="540"/>
          <w:tab w:val="left" w:pos="630"/>
          <w:tab w:val="left" w:pos="720"/>
        </w:tabs>
        <w:spacing w:before="239"/>
        <w:ind w:left="540" w:hanging="270"/>
        <w:jc w:val="both"/>
        <w:textAlignment w:val="baseline"/>
        <w:rPr>
          <w:rFonts w:ascii="Arial" w:eastAsia="Arial" w:hAnsi="Arial"/>
          <w:color w:val="000000"/>
        </w:rPr>
      </w:pPr>
      <w:r w:rsidRPr="005E3072">
        <w:rPr>
          <w:rFonts w:ascii="Arial" w:eastAsia="Arial" w:hAnsi="Arial"/>
          <w:color w:val="000000"/>
        </w:rPr>
        <w:t xml:space="preserve">Seller shall use best efforts that its suppliers and subcontractors provide the Seller with timely and accurate information on all matters relevant to the human </w:t>
      </w:r>
      <w:proofErr w:type="gramStart"/>
      <w:r w:rsidRPr="005E3072">
        <w:rPr>
          <w:rFonts w:ascii="Arial" w:eastAsia="Arial" w:hAnsi="Arial"/>
          <w:color w:val="000000"/>
        </w:rPr>
        <w:t>rights</w:t>
      </w:r>
      <w:proofErr w:type="gramEnd"/>
      <w:r w:rsidRPr="005E3072">
        <w:rPr>
          <w:rFonts w:ascii="Arial" w:eastAsia="Arial" w:hAnsi="Arial"/>
          <w:color w:val="000000"/>
        </w:rPr>
        <w:t xml:space="preserve"> due diligence process (if existent).</w:t>
      </w:r>
    </w:p>
    <w:p w14:paraId="366DB85B" w14:textId="77777777" w:rsidR="00AA66B3" w:rsidRPr="005E3072" w:rsidRDefault="00AA66B3" w:rsidP="005A34E9">
      <w:pPr>
        <w:pStyle w:val="ListParagraph"/>
        <w:tabs>
          <w:tab w:val="left" w:pos="540"/>
          <w:tab w:val="left" w:pos="630"/>
          <w:tab w:val="left" w:pos="720"/>
        </w:tabs>
        <w:spacing w:before="239"/>
        <w:ind w:left="540" w:hanging="270"/>
        <w:jc w:val="both"/>
        <w:textAlignment w:val="baseline"/>
        <w:rPr>
          <w:rFonts w:ascii="Arial" w:eastAsia="Arial" w:hAnsi="Arial"/>
          <w:color w:val="000000"/>
        </w:rPr>
      </w:pPr>
    </w:p>
    <w:p w14:paraId="5A223BF4" w14:textId="4799F076" w:rsidR="00AA66B3" w:rsidRPr="005E3072" w:rsidRDefault="006A5DAD" w:rsidP="005A34E9">
      <w:pPr>
        <w:pStyle w:val="ListParagraph"/>
        <w:numPr>
          <w:ilvl w:val="0"/>
          <w:numId w:val="4"/>
        </w:numPr>
        <w:tabs>
          <w:tab w:val="left" w:pos="540"/>
          <w:tab w:val="left" w:pos="630"/>
        </w:tabs>
        <w:spacing w:before="237"/>
        <w:ind w:left="540" w:hanging="270"/>
        <w:jc w:val="both"/>
        <w:textAlignment w:val="baseline"/>
        <w:rPr>
          <w:rFonts w:ascii="Arial" w:eastAsia="Arial" w:hAnsi="Arial"/>
          <w:color w:val="000000"/>
        </w:rPr>
      </w:pPr>
      <w:r w:rsidRPr="005E3072">
        <w:rPr>
          <w:rFonts w:ascii="Arial" w:eastAsia="Arial" w:hAnsi="Arial"/>
          <w:color w:val="000000"/>
        </w:rPr>
        <w:t>Seller shall develop and implement an action plan to prevent, end or minimize any violation of a human-rights related or environment-related obligation (as defined under the German Supply Chain Act in section 2 (4) in connection with section 2 (2) no. 1 to 12 and section 2 (3) No. 1 to 8) that has occurred or is imminent at the Seller or the Seller’s suppliers, and make best efforts that its suppliers implement the action plan. Buyer will assist in developing and implementing the action plan, where necessary and appropriate.</w:t>
      </w:r>
    </w:p>
    <w:p w14:paraId="11F409A2" w14:textId="77777777" w:rsidR="00AA66B3" w:rsidRPr="005E3072" w:rsidRDefault="00AA66B3" w:rsidP="005A34E9">
      <w:pPr>
        <w:pStyle w:val="ListParagraph"/>
        <w:tabs>
          <w:tab w:val="left" w:pos="540"/>
          <w:tab w:val="left" w:pos="630"/>
          <w:tab w:val="left" w:pos="720"/>
        </w:tabs>
        <w:spacing w:before="237"/>
        <w:ind w:left="540" w:hanging="270"/>
        <w:jc w:val="both"/>
        <w:textAlignment w:val="baseline"/>
        <w:rPr>
          <w:rFonts w:ascii="Arial" w:eastAsia="Arial" w:hAnsi="Arial"/>
          <w:color w:val="000000"/>
        </w:rPr>
      </w:pPr>
    </w:p>
    <w:p w14:paraId="4B5CD8C6" w14:textId="46C6AA48" w:rsidR="006A5DAD" w:rsidRPr="005E3072" w:rsidRDefault="006A5DAD" w:rsidP="005A34E9">
      <w:pPr>
        <w:pStyle w:val="ListParagraph"/>
        <w:numPr>
          <w:ilvl w:val="0"/>
          <w:numId w:val="4"/>
        </w:numPr>
        <w:tabs>
          <w:tab w:val="left" w:pos="540"/>
          <w:tab w:val="left" w:pos="630"/>
          <w:tab w:val="left" w:pos="720"/>
        </w:tabs>
        <w:spacing w:before="242"/>
        <w:ind w:left="540" w:hanging="270"/>
        <w:jc w:val="both"/>
        <w:textAlignment w:val="baseline"/>
        <w:rPr>
          <w:rFonts w:ascii="Arial" w:eastAsia="Arial" w:hAnsi="Arial"/>
          <w:color w:val="000000"/>
        </w:rPr>
      </w:pPr>
      <w:r w:rsidRPr="005E3072">
        <w:rPr>
          <w:rFonts w:ascii="Arial" w:eastAsia="Arial" w:hAnsi="Arial"/>
          <w:color w:val="000000"/>
        </w:rPr>
        <w:t>Seller shall develop and implement adequate compliance training measures in which the Seller’s managers and responsible employees will be provided with an adequate level of knowledge and understanding of the rights and principles articulated by the Human Rights Instruments and this Attachment. Seller must ensure that its responsible personnel participate in any training offered by Buyer. The foregoing does not constitute an obligation for Buyer to offer training.</w:t>
      </w:r>
    </w:p>
    <w:p w14:paraId="0EACC1D6" w14:textId="77777777" w:rsidR="00AA66B3" w:rsidRPr="005E3072" w:rsidRDefault="00AA66B3" w:rsidP="005A34E9">
      <w:pPr>
        <w:pStyle w:val="ListParagraph"/>
        <w:tabs>
          <w:tab w:val="left" w:pos="540"/>
          <w:tab w:val="left" w:pos="630"/>
          <w:tab w:val="left" w:pos="720"/>
        </w:tabs>
        <w:spacing w:before="242"/>
        <w:ind w:left="540" w:hanging="270"/>
        <w:jc w:val="both"/>
        <w:textAlignment w:val="baseline"/>
        <w:rPr>
          <w:rFonts w:ascii="Arial" w:eastAsia="Arial" w:hAnsi="Arial"/>
          <w:color w:val="000000"/>
        </w:rPr>
      </w:pPr>
    </w:p>
    <w:p w14:paraId="43F5093C" w14:textId="629472B0" w:rsidR="006A5DAD" w:rsidRPr="005E3072" w:rsidRDefault="006A5DAD" w:rsidP="005A34E9">
      <w:pPr>
        <w:pStyle w:val="ListParagraph"/>
        <w:numPr>
          <w:ilvl w:val="0"/>
          <w:numId w:val="4"/>
        </w:numPr>
        <w:tabs>
          <w:tab w:val="left" w:pos="540"/>
          <w:tab w:val="left" w:pos="630"/>
        </w:tabs>
        <w:spacing w:before="237"/>
        <w:ind w:left="540" w:hanging="270"/>
        <w:jc w:val="both"/>
        <w:textAlignment w:val="baseline"/>
        <w:rPr>
          <w:rFonts w:ascii="Arial" w:eastAsia="Arial" w:hAnsi="Arial"/>
          <w:color w:val="000000"/>
        </w:rPr>
      </w:pPr>
      <w:r w:rsidRPr="005E3072">
        <w:rPr>
          <w:rFonts w:ascii="Arial" w:eastAsia="Arial" w:hAnsi="Arial"/>
          <w:color w:val="000000"/>
        </w:rPr>
        <w:t>Seller shall make best efforts to</w:t>
      </w:r>
      <w:r w:rsidR="00AA66B3" w:rsidRPr="005E3072">
        <w:rPr>
          <w:rFonts w:ascii="Arial" w:eastAsia="Arial" w:hAnsi="Arial"/>
          <w:color w:val="000000"/>
        </w:rPr>
        <w:t xml:space="preserve"> </w:t>
      </w:r>
      <w:r w:rsidRPr="005E3072">
        <w:rPr>
          <w:rFonts w:ascii="Arial" w:eastAsia="Arial" w:hAnsi="Arial"/>
          <w:color w:val="000000"/>
        </w:rPr>
        <w:t>negotiate and include contractual requirements corresponding to those prescribed in this Attachment vis-à-vis its direct suppliers and to oblige them to pass on to their direct suppliers the obligation to comply with the rights and fundamental principles set forth in the Human Rights Instruments.</w:t>
      </w:r>
    </w:p>
    <w:p w14:paraId="2A700C74" w14:textId="77777777" w:rsidR="006A5DAD" w:rsidRPr="005E3072" w:rsidRDefault="006A5DAD" w:rsidP="00AA66B3">
      <w:pPr>
        <w:spacing w:before="239" w:line="251" w:lineRule="exact"/>
        <w:textAlignment w:val="baseline"/>
        <w:rPr>
          <w:rFonts w:ascii="Arial" w:eastAsia="Arial" w:hAnsi="Arial"/>
          <w:b/>
          <w:color w:val="000000"/>
        </w:rPr>
      </w:pPr>
      <w:r w:rsidRPr="005E3072">
        <w:rPr>
          <w:rFonts w:ascii="Arial" w:eastAsia="Arial" w:hAnsi="Arial"/>
          <w:b/>
          <w:color w:val="000000"/>
        </w:rPr>
        <w:t>4. COMPLIANCE</w:t>
      </w:r>
    </w:p>
    <w:p w14:paraId="279A86D3" w14:textId="7F322F44" w:rsidR="006A5DAD" w:rsidRPr="005E3072" w:rsidRDefault="006A5DAD" w:rsidP="005A34E9">
      <w:pPr>
        <w:pStyle w:val="ListParagraph"/>
        <w:numPr>
          <w:ilvl w:val="0"/>
          <w:numId w:val="3"/>
        </w:numPr>
        <w:tabs>
          <w:tab w:val="left" w:pos="630"/>
        </w:tabs>
        <w:spacing w:before="245" w:line="252" w:lineRule="exact"/>
        <w:ind w:left="540" w:hanging="270"/>
        <w:jc w:val="both"/>
        <w:textAlignment w:val="baseline"/>
        <w:rPr>
          <w:rFonts w:ascii="Arial" w:eastAsia="Arial" w:hAnsi="Arial"/>
          <w:color w:val="000000"/>
          <w:spacing w:val="-1"/>
        </w:rPr>
      </w:pPr>
      <w:r w:rsidRPr="005E3072">
        <w:rPr>
          <w:rFonts w:ascii="Arial" w:eastAsia="Arial" w:hAnsi="Arial"/>
          <w:color w:val="000000"/>
          <w:spacing w:val="-1"/>
        </w:rPr>
        <w:t xml:space="preserve">Upon reasonable notice, Buyer or its duly authorized representative shall have the right to audit Seller’s compliance with its obligations under this Attachment at Seller’s facility (including the review of associated books, records and other documentation). Seller shall timely reply to </w:t>
      </w:r>
      <w:r w:rsidRPr="005E3072">
        <w:rPr>
          <w:rFonts w:ascii="Arial" w:eastAsia="Arial" w:hAnsi="Arial"/>
          <w:color w:val="000000"/>
          <w:spacing w:val="-1"/>
        </w:rPr>
        <w:lastRenderedPageBreak/>
        <w:t>requests during such audit and shall provide reasonable support to Buyer and its duly authorized representative to complete the audit within Buyer’s established timeline. Where Buyer discovers material noncompliance with the terms of this Attachment, or where Seller delays increase the cost of the audit, Seller shall reimburse Buyer for costs of the audit.</w:t>
      </w:r>
    </w:p>
    <w:p w14:paraId="6E330778" w14:textId="77777777" w:rsidR="006A5DAD" w:rsidRPr="005E3072" w:rsidRDefault="006A5DAD" w:rsidP="005A34E9">
      <w:pPr>
        <w:numPr>
          <w:ilvl w:val="0"/>
          <w:numId w:val="3"/>
        </w:numPr>
        <w:tabs>
          <w:tab w:val="left" w:pos="630"/>
        </w:tabs>
        <w:spacing w:before="243" w:line="251" w:lineRule="exact"/>
        <w:ind w:left="540" w:hanging="270"/>
        <w:jc w:val="both"/>
        <w:textAlignment w:val="baseline"/>
        <w:rPr>
          <w:rFonts w:ascii="Arial" w:eastAsia="Arial" w:hAnsi="Arial"/>
          <w:color w:val="000000"/>
        </w:rPr>
      </w:pPr>
      <w:r w:rsidRPr="005E3072">
        <w:rPr>
          <w:rFonts w:ascii="Arial" w:eastAsia="Arial" w:hAnsi="Arial"/>
          <w:color w:val="000000"/>
        </w:rPr>
        <w:t>Seller shall make best efforts that its suppliers also permit such audits by Buyer.</w:t>
      </w:r>
    </w:p>
    <w:p w14:paraId="36B276FD" w14:textId="77777777" w:rsidR="006A5DAD" w:rsidRPr="005E3072" w:rsidRDefault="006A5DAD" w:rsidP="005A34E9">
      <w:pPr>
        <w:numPr>
          <w:ilvl w:val="0"/>
          <w:numId w:val="3"/>
        </w:numPr>
        <w:tabs>
          <w:tab w:val="left" w:pos="630"/>
        </w:tabs>
        <w:spacing w:before="250" w:line="254" w:lineRule="exact"/>
        <w:ind w:left="540" w:hanging="270"/>
        <w:jc w:val="both"/>
        <w:textAlignment w:val="baseline"/>
        <w:rPr>
          <w:rFonts w:ascii="Arial" w:eastAsia="Arial" w:hAnsi="Arial"/>
          <w:color w:val="000000"/>
        </w:rPr>
      </w:pPr>
      <w:r w:rsidRPr="005E3072">
        <w:rPr>
          <w:rFonts w:ascii="Arial" w:eastAsia="Arial" w:hAnsi="Arial"/>
          <w:color w:val="000000"/>
        </w:rPr>
        <w:t xml:space="preserve">Any audit shall be conducted in compliance with applicable laws (including, but not limited to, data privacy and antitrust laws) and </w:t>
      </w:r>
      <w:proofErr w:type="gramStart"/>
      <w:r w:rsidRPr="005E3072">
        <w:rPr>
          <w:rFonts w:ascii="Arial" w:eastAsia="Arial" w:hAnsi="Arial"/>
          <w:color w:val="000000"/>
        </w:rPr>
        <w:t>taking into account</w:t>
      </w:r>
      <w:proofErr w:type="gramEnd"/>
      <w:r w:rsidRPr="005E3072">
        <w:rPr>
          <w:rFonts w:ascii="Arial" w:eastAsia="Arial" w:hAnsi="Arial"/>
          <w:color w:val="000000"/>
        </w:rPr>
        <w:t xml:space="preserve"> the auditee’s reasonable interests (e.g. trade secrets).</w:t>
      </w:r>
    </w:p>
    <w:p w14:paraId="778B8D11" w14:textId="77777777" w:rsidR="006A5DAD" w:rsidRPr="005E3072" w:rsidRDefault="006A5DAD" w:rsidP="005A34E9">
      <w:pPr>
        <w:numPr>
          <w:ilvl w:val="0"/>
          <w:numId w:val="3"/>
        </w:numPr>
        <w:tabs>
          <w:tab w:val="left" w:pos="630"/>
        </w:tabs>
        <w:spacing w:before="243" w:line="252" w:lineRule="exact"/>
        <w:ind w:left="540" w:hanging="270"/>
        <w:jc w:val="both"/>
        <w:textAlignment w:val="baseline"/>
        <w:rPr>
          <w:rFonts w:ascii="Arial" w:eastAsia="Arial" w:hAnsi="Arial"/>
          <w:color w:val="000000"/>
        </w:rPr>
      </w:pPr>
      <w:r w:rsidRPr="005E3072">
        <w:rPr>
          <w:rFonts w:ascii="Arial" w:eastAsia="Arial" w:hAnsi="Arial"/>
          <w:color w:val="000000"/>
        </w:rPr>
        <w:t>Seller must take appropriate action to end or minimize any non-conformances identified during assessments and make best efforts that its direct suppliers end or minimize any non-conformances identified taking into account the obligations set forth under Section 3 of this Attachment.</w:t>
      </w:r>
    </w:p>
    <w:p w14:paraId="3FAFB81E" w14:textId="046F7B17" w:rsidR="006A5DAD" w:rsidRPr="005E3072" w:rsidRDefault="006A5DAD" w:rsidP="006140D1">
      <w:pPr>
        <w:spacing w:before="243" w:line="251" w:lineRule="exact"/>
        <w:textAlignment w:val="baseline"/>
        <w:rPr>
          <w:rFonts w:ascii="Arial" w:eastAsia="Arial" w:hAnsi="Arial"/>
          <w:b/>
          <w:color w:val="000000"/>
        </w:rPr>
      </w:pPr>
      <w:r w:rsidRPr="005E3072">
        <w:rPr>
          <w:rFonts w:ascii="Arial" w:eastAsia="Arial" w:hAnsi="Arial"/>
          <w:b/>
          <w:color w:val="000000"/>
        </w:rPr>
        <w:t>5. MISCELLANEOUS</w:t>
      </w:r>
      <w:r w:rsidR="006140D1" w:rsidRPr="005E3072">
        <w:rPr>
          <w:rFonts w:ascii="Arial" w:eastAsia="Arial" w:hAnsi="Arial"/>
          <w:b/>
          <w:color w:val="000000"/>
        </w:rPr>
        <w:br/>
      </w:r>
    </w:p>
    <w:p w14:paraId="2353290C" w14:textId="533722CD" w:rsidR="52B8DC79" w:rsidRPr="005E3072" w:rsidRDefault="006A5DAD" w:rsidP="006A5DAD">
      <w:r w:rsidRPr="005E3072">
        <w:rPr>
          <w:rFonts w:ascii="Arial" w:eastAsia="Arial" w:hAnsi="Arial"/>
          <w:color w:val="000000"/>
        </w:rPr>
        <w:t>Seller shall review and take into account any amendment to this Attachment that Buyer must request due to the results of the risk analysis required by the German Supply Chain Due Diligence Act.</w:t>
      </w:r>
    </w:p>
    <w:sectPr w:rsidR="52B8DC79" w:rsidRPr="005E3072" w:rsidSect="001B138D">
      <w:headerReference w:type="default" r:id="rId25"/>
      <w:footerReference w:type="default" r:id="rId26"/>
      <w:type w:val="continuous"/>
      <w:pgSz w:w="12240" w:h="15840"/>
      <w:pgMar w:top="1728" w:right="1350" w:bottom="1440" w:left="1440"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B1932" w14:textId="77777777" w:rsidR="003A0BF7" w:rsidRDefault="003A0BF7">
      <w:r>
        <w:separator/>
      </w:r>
    </w:p>
  </w:endnote>
  <w:endnote w:type="continuationSeparator" w:id="0">
    <w:p w14:paraId="05DE52CB" w14:textId="77777777" w:rsidR="003A0BF7" w:rsidRDefault="003A0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3E18" w14:textId="77777777" w:rsidR="00E364C6" w:rsidRPr="00C053FA" w:rsidRDefault="00E364C6" w:rsidP="00E364C6">
    <w:pPr>
      <w:pStyle w:val="Footer"/>
      <w:jc w:val="right"/>
      <w:rPr>
        <w:rFonts w:ascii="Arial" w:hAnsi="Arial" w:cs="Arial"/>
        <w:color w:val="0F4C9C"/>
        <w:sz w:val="20"/>
        <w:szCs w:val="20"/>
      </w:rPr>
    </w:pPr>
    <w:r w:rsidRPr="00C053FA">
      <w:rPr>
        <w:rFonts w:ascii="Arial" w:hAnsi="Arial" w:cs="Arial"/>
        <w:color w:val="0F4C9C"/>
        <w:sz w:val="20"/>
        <w:szCs w:val="20"/>
      </w:rPr>
      <w:fldChar w:fldCharType="begin"/>
    </w:r>
    <w:r w:rsidRPr="00C053FA">
      <w:rPr>
        <w:rFonts w:ascii="Arial" w:hAnsi="Arial" w:cs="Arial"/>
        <w:color w:val="0F4C9C"/>
        <w:sz w:val="20"/>
        <w:szCs w:val="20"/>
      </w:rPr>
      <w:instrText>PAGE</w:instrText>
    </w:r>
    <w:r w:rsidRPr="00C053FA">
      <w:rPr>
        <w:rFonts w:ascii="Arial" w:hAnsi="Arial" w:cs="Arial"/>
        <w:color w:val="0F4C9C"/>
        <w:sz w:val="20"/>
        <w:szCs w:val="20"/>
      </w:rPr>
      <w:fldChar w:fldCharType="separate"/>
    </w:r>
    <w:r>
      <w:rPr>
        <w:rFonts w:ascii="Arial" w:hAnsi="Arial" w:cs="Arial"/>
        <w:color w:val="0F4C9C"/>
        <w:sz w:val="20"/>
        <w:szCs w:val="20"/>
      </w:rPr>
      <w:t>1</w:t>
    </w:r>
    <w:r w:rsidRPr="00C053FA">
      <w:rPr>
        <w:rFonts w:ascii="Arial" w:hAnsi="Arial" w:cs="Arial"/>
        <w:color w:val="0F4C9C"/>
        <w:sz w:val="20"/>
        <w:szCs w:val="20"/>
      </w:rPr>
      <w:fldChar w:fldCharType="end"/>
    </w:r>
  </w:p>
  <w:p w14:paraId="66D93F36" w14:textId="6E809304" w:rsidR="007D179C" w:rsidRDefault="00E364C6" w:rsidP="00E364C6">
    <w:pPr>
      <w:jc w:val="center"/>
      <w:rPr>
        <w:rFonts w:ascii="Arial" w:eastAsia="Arial" w:hAnsi="Arial" w:cs="Arial"/>
        <w:color w:val="0F4C9C"/>
      </w:rPr>
    </w:pPr>
    <w:r w:rsidRPr="47859094">
      <w:rPr>
        <w:rFonts w:ascii="Arial" w:eastAsia="Arial" w:hAnsi="Arial" w:cs="Arial"/>
        <w:color w:val="0F4C9C"/>
      </w:rPr>
      <w:t>Walter Kidde Portable Equipment, LLC. All rights reserved.</w:t>
    </w:r>
  </w:p>
  <w:p w14:paraId="7BB82C72" w14:textId="77777777" w:rsidR="00E364C6" w:rsidRPr="00E364C6" w:rsidRDefault="00E364C6" w:rsidP="00E364C6">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57342" w14:textId="77777777" w:rsidR="003A0BF7" w:rsidRDefault="003A0BF7"/>
  </w:footnote>
  <w:footnote w:type="continuationSeparator" w:id="0">
    <w:p w14:paraId="295F57CD" w14:textId="77777777" w:rsidR="003A0BF7" w:rsidRDefault="003A0B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1C05A" w14:textId="77777777" w:rsidR="002C422A" w:rsidRPr="003E1EEA" w:rsidRDefault="002C422A" w:rsidP="0019169D">
    <w:pPr>
      <w:tabs>
        <w:tab w:val="left" w:pos="7020"/>
      </w:tabs>
      <w:jc w:val="both"/>
      <w:rPr>
        <w:rFonts w:ascii="Arial" w:eastAsia="Arial" w:hAnsi="Arial"/>
        <w:color w:val="000000" w:themeColor="text1"/>
        <w:sz w:val="20"/>
        <w:szCs w:val="20"/>
      </w:rPr>
    </w:pPr>
  </w:p>
  <w:p w14:paraId="173202F7" w14:textId="77777777" w:rsidR="00AA66B3" w:rsidRDefault="00AA66B3" w:rsidP="00AA66B3">
    <w:pPr>
      <w:pStyle w:val="Header"/>
      <w:ind w:left="-720"/>
    </w:pPr>
    <w:r w:rsidRPr="005D6B71">
      <w:rPr>
        <w:noProof/>
      </w:rPr>
      <w:drawing>
        <wp:inline distT="0" distB="0" distL="0" distR="0" wp14:anchorId="7FCBB443" wp14:editId="428543E3">
          <wp:extent cx="1757238" cy="750125"/>
          <wp:effectExtent l="0" t="0" r="6350" b="0"/>
          <wp:docPr id="46831713" name="Picture 1742286959" descr="A black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2286959" descr="A black and red logo&#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57238" cy="750125"/>
                  </a:xfrm>
                  <a:prstGeom prst="rect">
                    <a:avLst/>
                  </a:prstGeom>
                  <a:noFill/>
                  <a:ln>
                    <a:noFill/>
                  </a:ln>
                </pic:spPr>
              </pic:pic>
            </a:graphicData>
          </a:graphic>
        </wp:inline>
      </w:drawing>
    </w:r>
  </w:p>
  <w:p w14:paraId="74A8838D" w14:textId="77777777" w:rsidR="00AA66B3" w:rsidRDefault="00AA66B3" w:rsidP="00AA66B3">
    <w:pPr>
      <w:pStyle w:val="Header"/>
      <w:ind w:left="-720"/>
    </w:pPr>
  </w:p>
  <w:p w14:paraId="71038AEB" w14:textId="77777777" w:rsidR="0059030E" w:rsidRDefault="005903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677BF"/>
    <w:multiLevelType w:val="multilevel"/>
    <w:tmpl w:val="90685600"/>
    <w:lvl w:ilvl="0">
      <w:start w:val="1"/>
      <w:numFmt w:val="lowerLetter"/>
      <w:lvlText w:val="(%1)"/>
      <w:lvlJc w:val="left"/>
      <w:pPr>
        <w:tabs>
          <w:tab w:val="left" w:pos="720"/>
        </w:tabs>
      </w:pPr>
      <w:rPr>
        <w:rFonts w:ascii="Arial" w:eastAsia="Arial" w:hAnsi="Arial" w:cs="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176FD5"/>
    <w:multiLevelType w:val="multilevel"/>
    <w:tmpl w:val="F01C192E"/>
    <w:lvl w:ilvl="0">
      <w:start w:val="1"/>
      <w:numFmt w:val="lowerLetter"/>
      <w:lvlText w:val="%1)"/>
      <w:lvlJc w:val="left"/>
      <w:pPr>
        <w:ind w:left="360" w:hanging="360"/>
      </w:pPr>
      <w:rPr>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01437E"/>
    <w:multiLevelType w:val="multilevel"/>
    <w:tmpl w:val="7422C99A"/>
    <w:lvl w:ilvl="0">
      <w:start w:val="1"/>
      <w:numFmt w:val="lowerLetter"/>
      <w:lvlText w:val="%1)"/>
      <w:lvlJc w:val="left"/>
      <w:pPr>
        <w:ind w:left="360" w:hanging="360"/>
      </w:pPr>
      <w:rPr>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D274FA8"/>
    <w:multiLevelType w:val="multilevel"/>
    <w:tmpl w:val="AD506008"/>
    <w:lvl w:ilvl="0">
      <w:start w:val="1"/>
      <w:numFmt w:val="lowerLetter"/>
      <w:lvlText w:val="(%1)"/>
      <w:lvlJc w:val="left"/>
      <w:pPr>
        <w:tabs>
          <w:tab w:val="left" w:pos="1800"/>
        </w:tabs>
      </w:pPr>
      <w:rPr>
        <w:rFonts w:ascii="Arial" w:eastAsia="Arial" w:hAnsi="Arial" w:cs="Times New Roman"/>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82040021">
    <w:abstractNumId w:val="0"/>
  </w:num>
  <w:num w:numId="2" w16cid:durableId="805002714">
    <w:abstractNumId w:val="3"/>
  </w:num>
  <w:num w:numId="3" w16cid:durableId="2052803396">
    <w:abstractNumId w:val="2"/>
  </w:num>
  <w:num w:numId="4" w16cid:durableId="47973536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DAD"/>
    <w:rsid w:val="000008B6"/>
    <w:rsid w:val="00001290"/>
    <w:rsid w:val="00001680"/>
    <w:rsid w:val="00002DA2"/>
    <w:rsid w:val="00010488"/>
    <w:rsid w:val="0001143E"/>
    <w:rsid w:val="00015BBE"/>
    <w:rsid w:val="00016B93"/>
    <w:rsid w:val="00020423"/>
    <w:rsid w:val="00025119"/>
    <w:rsid w:val="00041242"/>
    <w:rsid w:val="00042CF8"/>
    <w:rsid w:val="00043568"/>
    <w:rsid w:val="0004440F"/>
    <w:rsid w:val="00044A2E"/>
    <w:rsid w:val="0005298C"/>
    <w:rsid w:val="000605E5"/>
    <w:rsid w:val="0006086B"/>
    <w:rsid w:val="00065E9F"/>
    <w:rsid w:val="00067F03"/>
    <w:rsid w:val="000702B0"/>
    <w:rsid w:val="0007078A"/>
    <w:rsid w:val="00072ED5"/>
    <w:rsid w:val="000742F7"/>
    <w:rsid w:val="00074427"/>
    <w:rsid w:val="000746D9"/>
    <w:rsid w:val="00076595"/>
    <w:rsid w:val="00086935"/>
    <w:rsid w:val="00093143"/>
    <w:rsid w:val="000966B4"/>
    <w:rsid w:val="000A5CC1"/>
    <w:rsid w:val="000A645E"/>
    <w:rsid w:val="000B4B91"/>
    <w:rsid w:val="000B4FFE"/>
    <w:rsid w:val="000B61B0"/>
    <w:rsid w:val="000C0D9B"/>
    <w:rsid w:val="000C1F89"/>
    <w:rsid w:val="000C420E"/>
    <w:rsid w:val="000C567C"/>
    <w:rsid w:val="000D3BA7"/>
    <w:rsid w:val="000D4D92"/>
    <w:rsid w:val="000D6AE3"/>
    <w:rsid w:val="000D7858"/>
    <w:rsid w:val="000E3BF7"/>
    <w:rsid w:val="000F2675"/>
    <w:rsid w:val="000F78C4"/>
    <w:rsid w:val="00102582"/>
    <w:rsid w:val="0010339D"/>
    <w:rsid w:val="001070C1"/>
    <w:rsid w:val="001073EC"/>
    <w:rsid w:val="00114308"/>
    <w:rsid w:val="00114A41"/>
    <w:rsid w:val="00117C4E"/>
    <w:rsid w:val="0012144A"/>
    <w:rsid w:val="001223CF"/>
    <w:rsid w:val="00124443"/>
    <w:rsid w:val="00124B32"/>
    <w:rsid w:val="0012660A"/>
    <w:rsid w:val="00130A5B"/>
    <w:rsid w:val="001412E3"/>
    <w:rsid w:val="0014218B"/>
    <w:rsid w:val="001426F0"/>
    <w:rsid w:val="00142C9F"/>
    <w:rsid w:val="00142F9A"/>
    <w:rsid w:val="00146F25"/>
    <w:rsid w:val="001478DA"/>
    <w:rsid w:val="00151430"/>
    <w:rsid w:val="00156076"/>
    <w:rsid w:val="001560D7"/>
    <w:rsid w:val="001568BD"/>
    <w:rsid w:val="00157FAA"/>
    <w:rsid w:val="00160282"/>
    <w:rsid w:val="00161CCC"/>
    <w:rsid w:val="00170AA8"/>
    <w:rsid w:val="001728A2"/>
    <w:rsid w:val="001730DF"/>
    <w:rsid w:val="001755F5"/>
    <w:rsid w:val="001802F2"/>
    <w:rsid w:val="00181289"/>
    <w:rsid w:val="00183FF4"/>
    <w:rsid w:val="001856A5"/>
    <w:rsid w:val="001859BA"/>
    <w:rsid w:val="0018600A"/>
    <w:rsid w:val="001901FF"/>
    <w:rsid w:val="0019169D"/>
    <w:rsid w:val="001A0BF6"/>
    <w:rsid w:val="001A26B5"/>
    <w:rsid w:val="001A371B"/>
    <w:rsid w:val="001A632B"/>
    <w:rsid w:val="001B138D"/>
    <w:rsid w:val="001B230A"/>
    <w:rsid w:val="001B28D1"/>
    <w:rsid w:val="001B33B6"/>
    <w:rsid w:val="001B740D"/>
    <w:rsid w:val="001C0CAE"/>
    <w:rsid w:val="001C24CE"/>
    <w:rsid w:val="001C2764"/>
    <w:rsid w:val="001C4811"/>
    <w:rsid w:val="001C6912"/>
    <w:rsid w:val="001D274F"/>
    <w:rsid w:val="001E086E"/>
    <w:rsid w:val="001E1766"/>
    <w:rsid w:val="001E21F5"/>
    <w:rsid w:val="001E2666"/>
    <w:rsid w:val="001F10A4"/>
    <w:rsid w:val="001F2628"/>
    <w:rsid w:val="001F3C0F"/>
    <w:rsid w:val="001F51BC"/>
    <w:rsid w:val="001F5E4C"/>
    <w:rsid w:val="001F7528"/>
    <w:rsid w:val="0020672D"/>
    <w:rsid w:val="00206ADA"/>
    <w:rsid w:val="002146BA"/>
    <w:rsid w:val="002211BB"/>
    <w:rsid w:val="00230462"/>
    <w:rsid w:val="002306D8"/>
    <w:rsid w:val="00233E0C"/>
    <w:rsid w:val="0023776A"/>
    <w:rsid w:val="002378E8"/>
    <w:rsid w:val="0024653C"/>
    <w:rsid w:val="00246577"/>
    <w:rsid w:val="002504A1"/>
    <w:rsid w:val="00251014"/>
    <w:rsid w:val="00251F80"/>
    <w:rsid w:val="002525C4"/>
    <w:rsid w:val="00256868"/>
    <w:rsid w:val="002617AC"/>
    <w:rsid w:val="00265754"/>
    <w:rsid w:val="00271BBF"/>
    <w:rsid w:val="00272DD5"/>
    <w:rsid w:val="00273976"/>
    <w:rsid w:val="00274CBF"/>
    <w:rsid w:val="00277480"/>
    <w:rsid w:val="00277DDE"/>
    <w:rsid w:val="00280E9E"/>
    <w:rsid w:val="00281161"/>
    <w:rsid w:val="002811F6"/>
    <w:rsid w:val="00283778"/>
    <w:rsid w:val="0028579B"/>
    <w:rsid w:val="00285EE0"/>
    <w:rsid w:val="0029405E"/>
    <w:rsid w:val="002B1C32"/>
    <w:rsid w:val="002B1E35"/>
    <w:rsid w:val="002B45E3"/>
    <w:rsid w:val="002B5428"/>
    <w:rsid w:val="002B5481"/>
    <w:rsid w:val="002B584D"/>
    <w:rsid w:val="002B5F87"/>
    <w:rsid w:val="002C0DB4"/>
    <w:rsid w:val="002C11AF"/>
    <w:rsid w:val="002C1F29"/>
    <w:rsid w:val="002C3BE8"/>
    <w:rsid w:val="002C422A"/>
    <w:rsid w:val="002C5AB4"/>
    <w:rsid w:val="002D61FA"/>
    <w:rsid w:val="002E0117"/>
    <w:rsid w:val="002E0506"/>
    <w:rsid w:val="002E197F"/>
    <w:rsid w:val="002F74D1"/>
    <w:rsid w:val="002F78F4"/>
    <w:rsid w:val="00301311"/>
    <w:rsid w:val="00301E80"/>
    <w:rsid w:val="00302B49"/>
    <w:rsid w:val="003031BA"/>
    <w:rsid w:val="003036C4"/>
    <w:rsid w:val="003077B1"/>
    <w:rsid w:val="00307E20"/>
    <w:rsid w:val="0031066C"/>
    <w:rsid w:val="00312673"/>
    <w:rsid w:val="003133F3"/>
    <w:rsid w:val="003135AE"/>
    <w:rsid w:val="00323B34"/>
    <w:rsid w:val="003254FA"/>
    <w:rsid w:val="00330D2C"/>
    <w:rsid w:val="0033156C"/>
    <w:rsid w:val="00333318"/>
    <w:rsid w:val="0033515A"/>
    <w:rsid w:val="003421C2"/>
    <w:rsid w:val="00343223"/>
    <w:rsid w:val="00350CBC"/>
    <w:rsid w:val="00352CE1"/>
    <w:rsid w:val="003548C1"/>
    <w:rsid w:val="003626D4"/>
    <w:rsid w:val="00362BD3"/>
    <w:rsid w:val="0036547A"/>
    <w:rsid w:val="0037352A"/>
    <w:rsid w:val="00375A01"/>
    <w:rsid w:val="00375BE8"/>
    <w:rsid w:val="0038298F"/>
    <w:rsid w:val="003858BB"/>
    <w:rsid w:val="00390AA4"/>
    <w:rsid w:val="0039119A"/>
    <w:rsid w:val="00391697"/>
    <w:rsid w:val="00395C1A"/>
    <w:rsid w:val="00395E82"/>
    <w:rsid w:val="00397C16"/>
    <w:rsid w:val="003A0BF7"/>
    <w:rsid w:val="003A1804"/>
    <w:rsid w:val="003A4475"/>
    <w:rsid w:val="003A4CD0"/>
    <w:rsid w:val="003A5271"/>
    <w:rsid w:val="003A7494"/>
    <w:rsid w:val="003A7B57"/>
    <w:rsid w:val="003B0F07"/>
    <w:rsid w:val="003B1D13"/>
    <w:rsid w:val="003B4A9C"/>
    <w:rsid w:val="003B664E"/>
    <w:rsid w:val="003C7682"/>
    <w:rsid w:val="003D0CDF"/>
    <w:rsid w:val="003D1FA7"/>
    <w:rsid w:val="003D744F"/>
    <w:rsid w:val="003E030A"/>
    <w:rsid w:val="003E07C9"/>
    <w:rsid w:val="003E0E06"/>
    <w:rsid w:val="003E12D1"/>
    <w:rsid w:val="003E16FE"/>
    <w:rsid w:val="003E1EEA"/>
    <w:rsid w:val="003E41C7"/>
    <w:rsid w:val="003E75E4"/>
    <w:rsid w:val="003F008F"/>
    <w:rsid w:val="003F3236"/>
    <w:rsid w:val="003F5C68"/>
    <w:rsid w:val="003F61E5"/>
    <w:rsid w:val="003F7F3B"/>
    <w:rsid w:val="004003DB"/>
    <w:rsid w:val="004050F8"/>
    <w:rsid w:val="004072E6"/>
    <w:rsid w:val="00407432"/>
    <w:rsid w:val="00411528"/>
    <w:rsid w:val="004131F4"/>
    <w:rsid w:val="004163EA"/>
    <w:rsid w:val="00416C74"/>
    <w:rsid w:val="004210A3"/>
    <w:rsid w:val="00423617"/>
    <w:rsid w:val="00426024"/>
    <w:rsid w:val="00426F0E"/>
    <w:rsid w:val="0042727D"/>
    <w:rsid w:val="00432062"/>
    <w:rsid w:val="00432A5A"/>
    <w:rsid w:val="00432B0B"/>
    <w:rsid w:val="00437838"/>
    <w:rsid w:val="004403B6"/>
    <w:rsid w:val="00443059"/>
    <w:rsid w:val="00446594"/>
    <w:rsid w:val="004553F7"/>
    <w:rsid w:val="0045785B"/>
    <w:rsid w:val="00460AA6"/>
    <w:rsid w:val="00465ED4"/>
    <w:rsid w:val="004668CB"/>
    <w:rsid w:val="0046692A"/>
    <w:rsid w:val="0047274B"/>
    <w:rsid w:val="00474F6E"/>
    <w:rsid w:val="004804BA"/>
    <w:rsid w:val="004815C6"/>
    <w:rsid w:val="0048382E"/>
    <w:rsid w:val="004857DD"/>
    <w:rsid w:val="00485ECF"/>
    <w:rsid w:val="00486D73"/>
    <w:rsid w:val="00487045"/>
    <w:rsid w:val="00487FDD"/>
    <w:rsid w:val="00494473"/>
    <w:rsid w:val="004A5C11"/>
    <w:rsid w:val="004A5CC3"/>
    <w:rsid w:val="004B1032"/>
    <w:rsid w:val="004B5042"/>
    <w:rsid w:val="004B5895"/>
    <w:rsid w:val="004B74E6"/>
    <w:rsid w:val="004C298D"/>
    <w:rsid w:val="004C439E"/>
    <w:rsid w:val="004C4540"/>
    <w:rsid w:val="004C4621"/>
    <w:rsid w:val="004C58FD"/>
    <w:rsid w:val="004D106A"/>
    <w:rsid w:val="004D4B30"/>
    <w:rsid w:val="004D60FF"/>
    <w:rsid w:val="004D68FB"/>
    <w:rsid w:val="004E07AA"/>
    <w:rsid w:val="004E1B53"/>
    <w:rsid w:val="004E2A5A"/>
    <w:rsid w:val="004E7DF7"/>
    <w:rsid w:val="004F313C"/>
    <w:rsid w:val="004F4CF0"/>
    <w:rsid w:val="004F5E09"/>
    <w:rsid w:val="004F6FEF"/>
    <w:rsid w:val="00500AC1"/>
    <w:rsid w:val="005032E6"/>
    <w:rsid w:val="00503FB6"/>
    <w:rsid w:val="00505E5A"/>
    <w:rsid w:val="005159D6"/>
    <w:rsid w:val="00517D38"/>
    <w:rsid w:val="00520D2E"/>
    <w:rsid w:val="0052309E"/>
    <w:rsid w:val="005256CE"/>
    <w:rsid w:val="00526132"/>
    <w:rsid w:val="00540BCB"/>
    <w:rsid w:val="0054314C"/>
    <w:rsid w:val="00543E47"/>
    <w:rsid w:val="00544B63"/>
    <w:rsid w:val="00546843"/>
    <w:rsid w:val="00546C0E"/>
    <w:rsid w:val="00555DC1"/>
    <w:rsid w:val="00556149"/>
    <w:rsid w:val="0055727F"/>
    <w:rsid w:val="005577C6"/>
    <w:rsid w:val="0056113D"/>
    <w:rsid w:val="00562D51"/>
    <w:rsid w:val="005652EA"/>
    <w:rsid w:val="00565F8C"/>
    <w:rsid w:val="00566A61"/>
    <w:rsid w:val="00570530"/>
    <w:rsid w:val="0057156F"/>
    <w:rsid w:val="005715A1"/>
    <w:rsid w:val="00571E06"/>
    <w:rsid w:val="0057474D"/>
    <w:rsid w:val="005808C2"/>
    <w:rsid w:val="0058216C"/>
    <w:rsid w:val="00586B17"/>
    <w:rsid w:val="00586E59"/>
    <w:rsid w:val="005870FD"/>
    <w:rsid w:val="0059030E"/>
    <w:rsid w:val="005904D7"/>
    <w:rsid w:val="00597426"/>
    <w:rsid w:val="005A33D2"/>
    <w:rsid w:val="005A34E9"/>
    <w:rsid w:val="005A3D93"/>
    <w:rsid w:val="005A54FD"/>
    <w:rsid w:val="005A69ED"/>
    <w:rsid w:val="005A6A9D"/>
    <w:rsid w:val="005A7326"/>
    <w:rsid w:val="005B12EE"/>
    <w:rsid w:val="005B6A15"/>
    <w:rsid w:val="005C4EDE"/>
    <w:rsid w:val="005D4816"/>
    <w:rsid w:val="005D5D89"/>
    <w:rsid w:val="005E11C3"/>
    <w:rsid w:val="005E3072"/>
    <w:rsid w:val="005F0A1C"/>
    <w:rsid w:val="005F7636"/>
    <w:rsid w:val="00604FB9"/>
    <w:rsid w:val="00611EE3"/>
    <w:rsid w:val="006140D1"/>
    <w:rsid w:val="00622149"/>
    <w:rsid w:val="006222F9"/>
    <w:rsid w:val="006275DC"/>
    <w:rsid w:val="00630958"/>
    <w:rsid w:val="00632A43"/>
    <w:rsid w:val="00636790"/>
    <w:rsid w:val="00641C8E"/>
    <w:rsid w:val="0064310D"/>
    <w:rsid w:val="00652D0F"/>
    <w:rsid w:val="00653293"/>
    <w:rsid w:val="00655835"/>
    <w:rsid w:val="00664634"/>
    <w:rsid w:val="00670026"/>
    <w:rsid w:val="00671488"/>
    <w:rsid w:val="006730D2"/>
    <w:rsid w:val="0067337D"/>
    <w:rsid w:val="006748CB"/>
    <w:rsid w:val="00677802"/>
    <w:rsid w:val="00681D89"/>
    <w:rsid w:val="006903C4"/>
    <w:rsid w:val="0069135F"/>
    <w:rsid w:val="00692186"/>
    <w:rsid w:val="006922D0"/>
    <w:rsid w:val="00693C3C"/>
    <w:rsid w:val="00697E6F"/>
    <w:rsid w:val="006A1E95"/>
    <w:rsid w:val="006A2C3C"/>
    <w:rsid w:val="006A38A1"/>
    <w:rsid w:val="006A3DC7"/>
    <w:rsid w:val="006A5112"/>
    <w:rsid w:val="006A5DAD"/>
    <w:rsid w:val="006B03E5"/>
    <w:rsid w:val="006B29CD"/>
    <w:rsid w:val="006B35B9"/>
    <w:rsid w:val="006C3B2C"/>
    <w:rsid w:val="006C7D22"/>
    <w:rsid w:val="006D0D09"/>
    <w:rsid w:val="006D244A"/>
    <w:rsid w:val="006D51CB"/>
    <w:rsid w:val="006D6649"/>
    <w:rsid w:val="006D6652"/>
    <w:rsid w:val="006D7968"/>
    <w:rsid w:val="006E3DEB"/>
    <w:rsid w:val="006E5181"/>
    <w:rsid w:val="006E5B4C"/>
    <w:rsid w:val="006F5C9B"/>
    <w:rsid w:val="007010E3"/>
    <w:rsid w:val="00703B41"/>
    <w:rsid w:val="007068D9"/>
    <w:rsid w:val="00710B75"/>
    <w:rsid w:val="00710DD3"/>
    <w:rsid w:val="007152CC"/>
    <w:rsid w:val="00716CC5"/>
    <w:rsid w:val="007173A4"/>
    <w:rsid w:val="0071793A"/>
    <w:rsid w:val="00723946"/>
    <w:rsid w:val="007247B0"/>
    <w:rsid w:val="00733F30"/>
    <w:rsid w:val="00733FF5"/>
    <w:rsid w:val="00734D2A"/>
    <w:rsid w:val="007369E1"/>
    <w:rsid w:val="00736AF8"/>
    <w:rsid w:val="00737A35"/>
    <w:rsid w:val="007403F7"/>
    <w:rsid w:val="007428A3"/>
    <w:rsid w:val="00745F94"/>
    <w:rsid w:val="00762FC4"/>
    <w:rsid w:val="00763BD6"/>
    <w:rsid w:val="00764F57"/>
    <w:rsid w:val="00771AB8"/>
    <w:rsid w:val="00775610"/>
    <w:rsid w:val="00775EF9"/>
    <w:rsid w:val="00776485"/>
    <w:rsid w:val="00782A5A"/>
    <w:rsid w:val="00787A3C"/>
    <w:rsid w:val="00787B10"/>
    <w:rsid w:val="00790EC5"/>
    <w:rsid w:val="00794754"/>
    <w:rsid w:val="00797BDA"/>
    <w:rsid w:val="007A5AC8"/>
    <w:rsid w:val="007A6E3A"/>
    <w:rsid w:val="007B0201"/>
    <w:rsid w:val="007B05CE"/>
    <w:rsid w:val="007B6CAB"/>
    <w:rsid w:val="007C0EFF"/>
    <w:rsid w:val="007C3097"/>
    <w:rsid w:val="007C5D2F"/>
    <w:rsid w:val="007C6664"/>
    <w:rsid w:val="007C736B"/>
    <w:rsid w:val="007D026F"/>
    <w:rsid w:val="007D02CC"/>
    <w:rsid w:val="007D179C"/>
    <w:rsid w:val="007D3974"/>
    <w:rsid w:val="007D5C28"/>
    <w:rsid w:val="007D64B3"/>
    <w:rsid w:val="007E49E7"/>
    <w:rsid w:val="007F1266"/>
    <w:rsid w:val="007F5DC3"/>
    <w:rsid w:val="007F67E6"/>
    <w:rsid w:val="007F7AFA"/>
    <w:rsid w:val="008019C2"/>
    <w:rsid w:val="00803A6F"/>
    <w:rsid w:val="00804C09"/>
    <w:rsid w:val="00804E01"/>
    <w:rsid w:val="00805017"/>
    <w:rsid w:val="0080660A"/>
    <w:rsid w:val="00806625"/>
    <w:rsid w:val="00806B89"/>
    <w:rsid w:val="008143C0"/>
    <w:rsid w:val="00814871"/>
    <w:rsid w:val="0081510D"/>
    <w:rsid w:val="008162FA"/>
    <w:rsid w:val="00824899"/>
    <w:rsid w:val="0082708C"/>
    <w:rsid w:val="00827550"/>
    <w:rsid w:val="0083132B"/>
    <w:rsid w:val="0083447F"/>
    <w:rsid w:val="00834BE2"/>
    <w:rsid w:val="00843BE1"/>
    <w:rsid w:val="00844A37"/>
    <w:rsid w:val="00845E8B"/>
    <w:rsid w:val="00851070"/>
    <w:rsid w:val="008523C9"/>
    <w:rsid w:val="00854F79"/>
    <w:rsid w:val="0085530F"/>
    <w:rsid w:val="00855B84"/>
    <w:rsid w:val="00855BC3"/>
    <w:rsid w:val="00856861"/>
    <w:rsid w:val="00856987"/>
    <w:rsid w:val="00857700"/>
    <w:rsid w:val="00857A02"/>
    <w:rsid w:val="00857CDB"/>
    <w:rsid w:val="00860FCA"/>
    <w:rsid w:val="00861B4B"/>
    <w:rsid w:val="00861F87"/>
    <w:rsid w:val="00862A45"/>
    <w:rsid w:val="00867399"/>
    <w:rsid w:val="008725AA"/>
    <w:rsid w:val="00883F63"/>
    <w:rsid w:val="0088440F"/>
    <w:rsid w:val="00885AD6"/>
    <w:rsid w:val="00885D6F"/>
    <w:rsid w:val="00886158"/>
    <w:rsid w:val="0089192D"/>
    <w:rsid w:val="00894592"/>
    <w:rsid w:val="00895151"/>
    <w:rsid w:val="008979E7"/>
    <w:rsid w:val="008A014C"/>
    <w:rsid w:val="008A31D3"/>
    <w:rsid w:val="008A5DBC"/>
    <w:rsid w:val="008C1830"/>
    <w:rsid w:val="008C7B82"/>
    <w:rsid w:val="008D4DAE"/>
    <w:rsid w:val="008D637D"/>
    <w:rsid w:val="008E3BF1"/>
    <w:rsid w:val="008E518F"/>
    <w:rsid w:val="008E7965"/>
    <w:rsid w:val="008F004A"/>
    <w:rsid w:val="00902CD0"/>
    <w:rsid w:val="00904A7F"/>
    <w:rsid w:val="00906034"/>
    <w:rsid w:val="00906088"/>
    <w:rsid w:val="00907226"/>
    <w:rsid w:val="00910670"/>
    <w:rsid w:val="00911D64"/>
    <w:rsid w:val="009153E1"/>
    <w:rsid w:val="00916B38"/>
    <w:rsid w:val="00923EC1"/>
    <w:rsid w:val="00926014"/>
    <w:rsid w:val="009277AB"/>
    <w:rsid w:val="00930EB2"/>
    <w:rsid w:val="00930F56"/>
    <w:rsid w:val="0093354C"/>
    <w:rsid w:val="0093399E"/>
    <w:rsid w:val="00934C12"/>
    <w:rsid w:val="00934C8D"/>
    <w:rsid w:val="0093568A"/>
    <w:rsid w:val="00937AAA"/>
    <w:rsid w:val="00944855"/>
    <w:rsid w:val="00944EF7"/>
    <w:rsid w:val="00947A3F"/>
    <w:rsid w:val="009502E3"/>
    <w:rsid w:val="009506EA"/>
    <w:rsid w:val="00970F6D"/>
    <w:rsid w:val="00970FED"/>
    <w:rsid w:val="00971ABE"/>
    <w:rsid w:val="009736B3"/>
    <w:rsid w:val="009759E5"/>
    <w:rsid w:val="00980E0C"/>
    <w:rsid w:val="0098204E"/>
    <w:rsid w:val="009854A5"/>
    <w:rsid w:val="00986A10"/>
    <w:rsid w:val="00987A3D"/>
    <w:rsid w:val="00992522"/>
    <w:rsid w:val="00993203"/>
    <w:rsid w:val="00995D85"/>
    <w:rsid w:val="009966B5"/>
    <w:rsid w:val="009A7CCB"/>
    <w:rsid w:val="009B0661"/>
    <w:rsid w:val="009B09F3"/>
    <w:rsid w:val="009B1C6A"/>
    <w:rsid w:val="009B40FE"/>
    <w:rsid w:val="009B4BAD"/>
    <w:rsid w:val="009B5FE8"/>
    <w:rsid w:val="009B7356"/>
    <w:rsid w:val="009B7BE9"/>
    <w:rsid w:val="009C0133"/>
    <w:rsid w:val="009C1DA0"/>
    <w:rsid w:val="009C369E"/>
    <w:rsid w:val="009C50D2"/>
    <w:rsid w:val="009C6255"/>
    <w:rsid w:val="009D5255"/>
    <w:rsid w:val="009D551D"/>
    <w:rsid w:val="009D5C07"/>
    <w:rsid w:val="009E73CF"/>
    <w:rsid w:val="009F27C4"/>
    <w:rsid w:val="009F3453"/>
    <w:rsid w:val="009F5332"/>
    <w:rsid w:val="009F7207"/>
    <w:rsid w:val="009F763D"/>
    <w:rsid w:val="00A0176E"/>
    <w:rsid w:val="00A07083"/>
    <w:rsid w:val="00A11739"/>
    <w:rsid w:val="00A13481"/>
    <w:rsid w:val="00A2078D"/>
    <w:rsid w:val="00A22835"/>
    <w:rsid w:val="00A33145"/>
    <w:rsid w:val="00A40947"/>
    <w:rsid w:val="00A42781"/>
    <w:rsid w:val="00A45E27"/>
    <w:rsid w:val="00A517EF"/>
    <w:rsid w:val="00A537EE"/>
    <w:rsid w:val="00A563D6"/>
    <w:rsid w:val="00A56861"/>
    <w:rsid w:val="00A70100"/>
    <w:rsid w:val="00A77D4B"/>
    <w:rsid w:val="00A82CF1"/>
    <w:rsid w:val="00A845D0"/>
    <w:rsid w:val="00A917E3"/>
    <w:rsid w:val="00A946AD"/>
    <w:rsid w:val="00A97D44"/>
    <w:rsid w:val="00AA0340"/>
    <w:rsid w:val="00AA256B"/>
    <w:rsid w:val="00AA3C30"/>
    <w:rsid w:val="00AA66B3"/>
    <w:rsid w:val="00AA77A1"/>
    <w:rsid w:val="00AB0BF7"/>
    <w:rsid w:val="00AB3278"/>
    <w:rsid w:val="00AB4DB9"/>
    <w:rsid w:val="00AC025D"/>
    <w:rsid w:val="00AC1222"/>
    <w:rsid w:val="00AC171C"/>
    <w:rsid w:val="00AC1E75"/>
    <w:rsid w:val="00AD00D3"/>
    <w:rsid w:val="00AD57BB"/>
    <w:rsid w:val="00AD5E67"/>
    <w:rsid w:val="00AE2410"/>
    <w:rsid w:val="00AE3788"/>
    <w:rsid w:val="00AE4708"/>
    <w:rsid w:val="00AE5A85"/>
    <w:rsid w:val="00AF00AA"/>
    <w:rsid w:val="00AF28CA"/>
    <w:rsid w:val="00AF34C5"/>
    <w:rsid w:val="00AF4D80"/>
    <w:rsid w:val="00AF79D8"/>
    <w:rsid w:val="00B068D7"/>
    <w:rsid w:val="00B10131"/>
    <w:rsid w:val="00B11125"/>
    <w:rsid w:val="00B12BD2"/>
    <w:rsid w:val="00B13193"/>
    <w:rsid w:val="00B17874"/>
    <w:rsid w:val="00B2068A"/>
    <w:rsid w:val="00B21FD5"/>
    <w:rsid w:val="00B22B40"/>
    <w:rsid w:val="00B2322C"/>
    <w:rsid w:val="00B30871"/>
    <w:rsid w:val="00B349D8"/>
    <w:rsid w:val="00B4564B"/>
    <w:rsid w:val="00B47B4A"/>
    <w:rsid w:val="00B51734"/>
    <w:rsid w:val="00B53AEC"/>
    <w:rsid w:val="00B55320"/>
    <w:rsid w:val="00B564D6"/>
    <w:rsid w:val="00B56E2B"/>
    <w:rsid w:val="00B61526"/>
    <w:rsid w:val="00B654EF"/>
    <w:rsid w:val="00B67362"/>
    <w:rsid w:val="00B73C29"/>
    <w:rsid w:val="00B74FE5"/>
    <w:rsid w:val="00B75F83"/>
    <w:rsid w:val="00B97EEF"/>
    <w:rsid w:val="00BA377E"/>
    <w:rsid w:val="00BA4C4C"/>
    <w:rsid w:val="00BA5CE4"/>
    <w:rsid w:val="00BB0DC1"/>
    <w:rsid w:val="00BB2DA8"/>
    <w:rsid w:val="00BB57EB"/>
    <w:rsid w:val="00BC1772"/>
    <w:rsid w:val="00BC4AFA"/>
    <w:rsid w:val="00BD15DC"/>
    <w:rsid w:val="00BD563C"/>
    <w:rsid w:val="00BD5A15"/>
    <w:rsid w:val="00BE188D"/>
    <w:rsid w:val="00BE436E"/>
    <w:rsid w:val="00BE5CC1"/>
    <w:rsid w:val="00BE6A0C"/>
    <w:rsid w:val="00BF133F"/>
    <w:rsid w:val="00BF584D"/>
    <w:rsid w:val="00BF7182"/>
    <w:rsid w:val="00C009DA"/>
    <w:rsid w:val="00C0286A"/>
    <w:rsid w:val="00C02F68"/>
    <w:rsid w:val="00C043F9"/>
    <w:rsid w:val="00C0580A"/>
    <w:rsid w:val="00C0658F"/>
    <w:rsid w:val="00C10290"/>
    <w:rsid w:val="00C11D24"/>
    <w:rsid w:val="00C13398"/>
    <w:rsid w:val="00C17342"/>
    <w:rsid w:val="00C220C0"/>
    <w:rsid w:val="00C255E9"/>
    <w:rsid w:val="00C30A87"/>
    <w:rsid w:val="00C32337"/>
    <w:rsid w:val="00C33AE8"/>
    <w:rsid w:val="00C34605"/>
    <w:rsid w:val="00C3654A"/>
    <w:rsid w:val="00C4038F"/>
    <w:rsid w:val="00C4049C"/>
    <w:rsid w:val="00C44605"/>
    <w:rsid w:val="00C45A14"/>
    <w:rsid w:val="00C468C2"/>
    <w:rsid w:val="00C562F7"/>
    <w:rsid w:val="00C564F4"/>
    <w:rsid w:val="00C611ED"/>
    <w:rsid w:val="00C6706F"/>
    <w:rsid w:val="00C70522"/>
    <w:rsid w:val="00C71127"/>
    <w:rsid w:val="00C72DF4"/>
    <w:rsid w:val="00C72F85"/>
    <w:rsid w:val="00C73B20"/>
    <w:rsid w:val="00C74A6F"/>
    <w:rsid w:val="00C80AE8"/>
    <w:rsid w:val="00C85E2D"/>
    <w:rsid w:val="00C91FC7"/>
    <w:rsid w:val="00C9393B"/>
    <w:rsid w:val="00C94DF8"/>
    <w:rsid w:val="00C959F7"/>
    <w:rsid w:val="00CA1192"/>
    <w:rsid w:val="00CA645E"/>
    <w:rsid w:val="00CB321C"/>
    <w:rsid w:val="00CB3E70"/>
    <w:rsid w:val="00CB5E28"/>
    <w:rsid w:val="00CC2048"/>
    <w:rsid w:val="00CC2680"/>
    <w:rsid w:val="00CC37F5"/>
    <w:rsid w:val="00CC3D43"/>
    <w:rsid w:val="00CC627F"/>
    <w:rsid w:val="00CD203B"/>
    <w:rsid w:val="00CD383A"/>
    <w:rsid w:val="00CD48D5"/>
    <w:rsid w:val="00CD4C67"/>
    <w:rsid w:val="00CD5473"/>
    <w:rsid w:val="00CD5EDF"/>
    <w:rsid w:val="00CE3312"/>
    <w:rsid w:val="00CE4DE9"/>
    <w:rsid w:val="00CF2BD5"/>
    <w:rsid w:val="00CF53DD"/>
    <w:rsid w:val="00D00363"/>
    <w:rsid w:val="00D01B8D"/>
    <w:rsid w:val="00D06797"/>
    <w:rsid w:val="00D07257"/>
    <w:rsid w:val="00D220D5"/>
    <w:rsid w:val="00D22C13"/>
    <w:rsid w:val="00D2425B"/>
    <w:rsid w:val="00D26A5D"/>
    <w:rsid w:val="00D31D9B"/>
    <w:rsid w:val="00D3229B"/>
    <w:rsid w:val="00D32E39"/>
    <w:rsid w:val="00D3568A"/>
    <w:rsid w:val="00D35B80"/>
    <w:rsid w:val="00D362D3"/>
    <w:rsid w:val="00D36AA4"/>
    <w:rsid w:val="00D4029F"/>
    <w:rsid w:val="00D422A5"/>
    <w:rsid w:val="00D4765B"/>
    <w:rsid w:val="00D51FED"/>
    <w:rsid w:val="00D54ADA"/>
    <w:rsid w:val="00D54DAD"/>
    <w:rsid w:val="00D55411"/>
    <w:rsid w:val="00D5550D"/>
    <w:rsid w:val="00D57E99"/>
    <w:rsid w:val="00D60A12"/>
    <w:rsid w:val="00D626FB"/>
    <w:rsid w:val="00D717B8"/>
    <w:rsid w:val="00D72F4E"/>
    <w:rsid w:val="00D75C40"/>
    <w:rsid w:val="00D7766D"/>
    <w:rsid w:val="00D91628"/>
    <w:rsid w:val="00D95C3C"/>
    <w:rsid w:val="00DA0053"/>
    <w:rsid w:val="00DA299A"/>
    <w:rsid w:val="00DA3377"/>
    <w:rsid w:val="00DA574E"/>
    <w:rsid w:val="00DA5B0D"/>
    <w:rsid w:val="00DB1ABA"/>
    <w:rsid w:val="00DB256F"/>
    <w:rsid w:val="00DB264B"/>
    <w:rsid w:val="00DB40F9"/>
    <w:rsid w:val="00DC12C8"/>
    <w:rsid w:val="00DC1B7C"/>
    <w:rsid w:val="00DD1CAC"/>
    <w:rsid w:val="00DD7AD7"/>
    <w:rsid w:val="00DD7BD6"/>
    <w:rsid w:val="00DE02A9"/>
    <w:rsid w:val="00DE3968"/>
    <w:rsid w:val="00DE7955"/>
    <w:rsid w:val="00DE7EA0"/>
    <w:rsid w:val="00DF2D33"/>
    <w:rsid w:val="00DF67AE"/>
    <w:rsid w:val="00DF6F15"/>
    <w:rsid w:val="00E05E2C"/>
    <w:rsid w:val="00E067EE"/>
    <w:rsid w:val="00E072C3"/>
    <w:rsid w:val="00E11D2F"/>
    <w:rsid w:val="00E13425"/>
    <w:rsid w:val="00E17C98"/>
    <w:rsid w:val="00E2199E"/>
    <w:rsid w:val="00E2442F"/>
    <w:rsid w:val="00E332A6"/>
    <w:rsid w:val="00E33785"/>
    <w:rsid w:val="00E35CCE"/>
    <w:rsid w:val="00E35F63"/>
    <w:rsid w:val="00E364C6"/>
    <w:rsid w:val="00E41679"/>
    <w:rsid w:val="00E41A78"/>
    <w:rsid w:val="00E41BCB"/>
    <w:rsid w:val="00E50B4C"/>
    <w:rsid w:val="00E51671"/>
    <w:rsid w:val="00E52400"/>
    <w:rsid w:val="00E53753"/>
    <w:rsid w:val="00E552E2"/>
    <w:rsid w:val="00E6037A"/>
    <w:rsid w:val="00E61B2C"/>
    <w:rsid w:val="00E62C7A"/>
    <w:rsid w:val="00E63ACF"/>
    <w:rsid w:val="00E64ED7"/>
    <w:rsid w:val="00E65EC6"/>
    <w:rsid w:val="00E66CF4"/>
    <w:rsid w:val="00E71E0B"/>
    <w:rsid w:val="00E72740"/>
    <w:rsid w:val="00E74F26"/>
    <w:rsid w:val="00E75757"/>
    <w:rsid w:val="00E764FB"/>
    <w:rsid w:val="00E76D4E"/>
    <w:rsid w:val="00E8150E"/>
    <w:rsid w:val="00E86D98"/>
    <w:rsid w:val="00E86DD0"/>
    <w:rsid w:val="00E971ED"/>
    <w:rsid w:val="00EA171A"/>
    <w:rsid w:val="00EA2A87"/>
    <w:rsid w:val="00EA5DEB"/>
    <w:rsid w:val="00EC18CC"/>
    <w:rsid w:val="00EC3C01"/>
    <w:rsid w:val="00EC6345"/>
    <w:rsid w:val="00ED3487"/>
    <w:rsid w:val="00EE2892"/>
    <w:rsid w:val="00EE3060"/>
    <w:rsid w:val="00EF13BF"/>
    <w:rsid w:val="00F02FA0"/>
    <w:rsid w:val="00F03052"/>
    <w:rsid w:val="00F04412"/>
    <w:rsid w:val="00F120AF"/>
    <w:rsid w:val="00F12CBD"/>
    <w:rsid w:val="00F16B3C"/>
    <w:rsid w:val="00F17C89"/>
    <w:rsid w:val="00F21FC4"/>
    <w:rsid w:val="00F25DAE"/>
    <w:rsid w:val="00F27CD8"/>
    <w:rsid w:val="00F30851"/>
    <w:rsid w:val="00F33A9D"/>
    <w:rsid w:val="00F36D33"/>
    <w:rsid w:val="00F37AA4"/>
    <w:rsid w:val="00F407F4"/>
    <w:rsid w:val="00F43DBD"/>
    <w:rsid w:val="00F440FF"/>
    <w:rsid w:val="00F47E7A"/>
    <w:rsid w:val="00F623C8"/>
    <w:rsid w:val="00F648C2"/>
    <w:rsid w:val="00F64D04"/>
    <w:rsid w:val="00F71914"/>
    <w:rsid w:val="00F72323"/>
    <w:rsid w:val="00F74395"/>
    <w:rsid w:val="00F771B5"/>
    <w:rsid w:val="00F77A1A"/>
    <w:rsid w:val="00F81EC7"/>
    <w:rsid w:val="00F826E2"/>
    <w:rsid w:val="00F85D74"/>
    <w:rsid w:val="00F92FB2"/>
    <w:rsid w:val="00F953A2"/>
    <w:rsid w:val="00F97AB0"/>
    <w:rsid w:val="00FA13B9"/>
    <w:rsid w:val="00FA4273"/>
    <w:rsid w:val="00FA7780"/>
    <w:rsid w:val="00FB1454"/>
    <w:rsid w:val="00FB14A4"/>
    <w:rsid w:val="00FB1A82"/>
    <w:rsid w:val="00FB2B67"/>
    <w:rsid w:val="00FB41D9"/>
    <w:rsid w:val="00FB7DBC"/>
    <w:rsid w:val="00FC0F10"/>
    <w:rsid w:val="00FC163F"/>
    <w:rsid w:val="00FC4DBC"/>
    <w:rsid w:val="00FC791A"/>
    <w:rsid w:val="00FC7952"/>
    <w:rsid w:val="00FC79D7"/>
    <w:rsid w:val="00FD5C6D"/>
    <w:rsid w:val="00FE2BCA"/>
    <w:rsid w:val="00FF139E"/>
    <w:rsid w:val="00FF2EBF"/>
    <w:rsid w:val="00FF366B"/>
    <w:rsid w:val="00FF496C"/>
    <w:rsid w:val="03E8EA9D"/>
    <w:rsid w:val="20B8A0FE"/>
    <w:rsid w:val="2B91FCEB"/>
    <w:rsid w:val="52B8DC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39379"/>
  <w15:docId w15:val="{E0F8AACC-F349-4C13-8E7F-406E1B774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D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43C0"/>
    <w:pPr>
      <w:tabs>
        <w:tab w:val="center" w:pos="4680"/>
        <w:tab w:val="right" w:pos="9360"/>
      </w:tabs>
    </w:pPr>
  </w:style>
  <w:style w:type="character" w:customStyle="1" w:styleId="HeaderChar">
    <w:name w:val="Header Char"/>
    <w:basedOn w:val="DefaultParagraphFont"/>
    <w:link w:val="Header"/>
    <w:uiPriority w:val="99"/>
    <w:rsid w:val="008143C0"/>
  </w:style>
  <w:style w:type="paragraph" w:styleId="Footer">
    <w:name w:val="footer"/>
    <w:basedOn w:val="Normal"/>
    <w:link w:val="FooterChar"/>
    <w:uiPriority w:val="99"/>
    <w:unhideWhenUsed/>
    <w:rsid w:val="008143C0"/>
    <w:pPr>
      <w:tabs>
        <w:tab w:val="center" w:pos="4680"/>
        <w:tab w:val="right" w:pos="9360"/>
      </w:tabs>
    </w:pPr>
  </w:style>
  <w:style w:type="character" w:customStyle="1" w:styleId="FooterChar">
    <w:name w:val="Footer Char"/>
    <w:basedOn w:val="DefaultParagraphFont"/>
    <w:link w:val="Footer"/>
    <w:uiPriority w:val="99"/>
    <w:rsid w:val="008143C0"/>
  </w:style>
  <w:style w:type="paragraph" w:styleId="ListParagraph">
    <w:name w:val="List Paragraph"/>
    <w:basedOn w:val="Normal"/>
    <w:uiPriority w:val="34"/>
    <w:qFormat/>
    <w:rsid w:val="00EC3C01"/>
    <w:pPr>
      <w:ind w:left="720"/>
      <w:contextualSpacing/>
    </w:pPr>
  </w:style>
  <w:style w:type="character" w:styleId="CommentReference">
    <w:name w:val="annotation reference"/>
    <w:basedOn w:val="DefaultParagraphFont"/>
    <w:uiPriority w:val="99"/>
    <w:semiHidden/>
    <w:unhideWhenUsed/>
    <w:rsid w:val="00556149"/>
    <w:rPr>
      <w:sz w:val="16"/>
      <w:szCs w:val="16"/>
    </w:rPr>
  </w:style>
  <w:style w:type="paragraph" w:styleId="CommentText">
    <w:name w:val="annotation text"/>
    <w:basedOn w:val="Normal"/>
    <w:link w:val="CommentTextChar"/>
    <w:uiPriority w:val="99"/>
    <w:unhideWhenUsed/>
    <w:rsid w:val="00556149"/>
    <w:rPr>
      <w:sz w:val="20"/>
      <w:szCs w:val="20"/>
    </w:rPr>
  </w:style>
  <w:style w:type="character" w:customStyle="1" w:styleId="CommentTextChar">
    <w:name w:val="Comment Text Char"/>
    <w:basedOn w:val="DefaultParagraphFont"/>
    <w:link w:val="CommentText"/>
    <w:uiPriority w:val="99"/>
    <w:rsid w:val="00556149"/>
    <w:rPr>
      <w:sz w:val="20"/>
      <w:szCs w:val="20"/>
    </w:rPr>
  </w:style>
  <w:style w:type="paragraph" w:styleId="CommentSubject">
    <w:name w:val="annotation subject"/>
    <w:basedOn w:val="CommentText"/>
    <w:next w:val="CommentText"/>
    <w:link w:val="CommentSubjectChar"/>
    <w:uiPriority w:val="99"/>
    <w:semiHidden/>
    <w:unhideWhenUsed/>
    <w:rsid w:val="00556149"/>
    <w:rPr>
      <w:b/>
      <w:bCs/>
    </w:rPr>
  </w:style>
  <w:style w:type="character" w:customStyle="1" w:styleId="CommentSubjectChar">
    <w:name w:val="Comment Subject Char"/>
    <w:basedOn w:val="CommentTextChar"/>
    <w:link w:val="CommentSubject"/>
    <w:uiPriority w:val="99"/>
    <w:semiHidden/>
    <w:rsid w:val="00556149"/>
    <w:rPr>
      <w:b/>
      <w:bCs/>
      <w:sz w:val="20"/>
      <w:szCs w:val="20"/>
    </w:rPr>
  </w:style>
  <w:style w:type="character" w:styleId="Hyperlink">
    <w:name w:val="Hyperlink"/>
    <w:basedOn w:val="DefaultParagraphFont"/>
    <w:uiPriority w:val="99"/>
    <w:unhideWhenUsed/>
    <w:rsid w:val="00AE4708"/>
    <w:rPr>
      <w:color w:val="467886" w:themeColor="hyperlink"/>
      <w:u w:val="single"/>
    </w:rPr>
  </w:style>
  <w:style w:type="character" w:styleId="UnresolvedMention">
    <w:name w:val="Unresolved Mention"/>
    <w:basedOn w:val="DefaultParagraphFont"/>
    <w:uiPriority w:val="99"/>
    <w:semiHidden/>
    <w:unhideWhenUsed/>
    <w:rsid w:val="00AE4708"/>
    <w:rPr>
      <w:color w:val="605E5C"/>
      <w:shd w:val="clear" w:color="auto" w:fill="E1DFDD"/>
    </w:rPr>
  </w:style>
  <w:style w:type="paragraph" w:styleId="Revision">
    <w:name w:val="Revision"/>
    <w:hidden/>
    <w:uiPriority w:val="99"/>
    <w:semiHidden/>
    <w:rsid w:val="001C69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175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sr-in-deutschland.de/SharedDocs/Downloads/EN/act-corporate-due-diligence-obligations-supply-" TargetMode="External"/><Relationship Id="rId18" Type="http://schemas.openxmlformats.org/officeDocument/2006/relationships/hyperlink" Target="http://ilo.org"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ilo.org" TargetMode="External"/><Relationship Id="rId7" Type="http://schemas.openxmlformats.org/officeDocument/2006/relationships/settings" Target="settings.xml"/><Relationship Id="rId12" Type="http://schemas.openxmlformats.org/officeDocument/2006/relationships/hyperlink" Target="https://www.kiddeglobalsolutions.com" TargetMode="External"/><Relationship Id="rId17" Type="http://schemas.openxmlformats.org/officeDocument/2006/relationships/hyperlink" Target="http://ilo.org" TargetMode="External"/><Relationship Id="rId25" Type="http://schemas.openxmlformats.org/officeDocument/2006/relationships/header" Target="header1.xm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hyperlink" Target="http://ilo.org" TargetMode="External"/><Relationship Id="rId20" Type="http://schemas.openxmlformats.org/officeDocument/2006/relationships/hyperlink" Target="http://il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iddeglobalsolutions.com" TargetMode="External"/><Relationship Id="rId24" Type="http://schemas.openxmlformats.org/officeDocument/2006/relationships/hyperlink" Target="http://un.org" TargetMode="External"/><Relationship Id="rId5" Type="http://schemas.openxmlformats.org/officeDocument/2006/relationships/numbering" Target="numbering.xml"/><Relationship Id="rId15" Type="http://schemas.openxmlformats.org/officeDocument/2006/relationships/hyperlink" Target="http://ilo.org" TargetMode="External"/><Relationship Id="rId23" Type="http://schemas.openxmlformats.org/officeDocument/2006/relationships/hyperlink" Target="http://un.or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il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lo.org" TargetMode="External"/><Relationship Id="rId22" Type="http://schemas.openxmlformats.org/officeDocument/2006/relationships/hyperlink" Target="http://ilo.or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BCFBE.32B2B4F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b9ceb0-3499-44e8-9adc-5a2a28a7f691" xsi:nil="true"/>
    <lcf76f155ced4ddcb4097134ff3c332f xmlns="ea76a348-2439-4191-9554-1854096ee0e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7C501B9511384AB078CCCE94753768" ma:contentTypeVersion="15" ma:contentTypeDescription="Create a new document." ma:contentTypeScope="" ma:versionID="e35391598c0491bbccda953505bf900d">
  <xsd:schema xmlns:xsd="http://www.w3.org/2001/XMLSchema" xmlns:xs="http://www.w3.org/2001/XMLSchema" xmlns:p="http://schemas.microsoft.com/office/2006/metadata/properties" xmlns:ns2="ea76a348-2439-4191-9554-1854096ee0e9" xmlns:ns3="dbb9ceb0-3499-44e8-9adc-5a2a28a7f691" targetNamespace="http://schemas.microsoft.com/office/2006/metadata/properties" ma:root="true" ma:fieldsID="4bea5ce2cfd292316c975a3a20ec7df8" ns2:_="" ns3:_="">
    <xsd:import namespace="ea76a348-2439-4191-9554-1854096ee0e9"/>
    <xsd:import namespace="dbb9ceb0-3499-44e8-9adc-5a2a28a7f6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6a348-2439-4191-9554-1854096ee0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6b366eb-2d67-430e-a1f7-e3d40fb0dfe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b9ceb0-3499-44e8-9adc-5a2a28a7f69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892a4b1-b024-4ee3-93e7-9c8418c1f2e0}" ma:internalName="TaxCatchAll" ma:showField="CatchAllData" ma:web="dbb9ceb0-3499-44e8-9adc-5a2a28a7f6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EC58F-8552-499E-B8B9-E140EFF917ED}">
  <ds:schemaRefs>
    <ds:schemaRef ds:uri="http://schemas.microsoft.com/office/2006/metadata/properties"/>
    <ds:schemaRef ds:uri="http://schemas.microsoft.com/office/infopath/2007/PartnerControls"/>
    <ds:schemaRef ds:uri="dbb9ceb0-3499-44e8-9adc-5a2a28a7f691"/>
    <ds:schemaRef ds:uri="ea76a348-2439-4191-9554-1854096ee0e9"/>
  </ds:schemaRefs>
</ds:datastoreItem>
</file>

<file path=customXml/itemProps2.xml><?xml version="1.0" encoding="utf-8"?>
<ds:datastoreItem xmlns:ds="http://schemas.openxmlformats.org/officeDocument/2006/customXml" ds:itemID="{3D1CA42A-3DC5-4D91-8877-3D8B464B1CED}">
  <ds:schemaRefs>
    <ds:schemaRef ds:uri="http://schemas.microsoft.com/sharepoint/v3/contenttype/forms"/>
  </ds:schemaRefs>
</ds:datastoreItem>
</file>

<file path=customXml/itemProps3.xml><?xml version="1.0" encoding="utf-8"?>
<ds:datastoreItem xmlns:ds="http://schemas.openxmlformats.org/officeDocument/2006/customXml" ds:itemID="{AD539846-3435-49FA-8D2B-6F672519B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6a348-2439-4191-9554-1854096ee0e9"/>
    <ds:schemaRef ds:uri="dbb9ceb0-3499-44e8-9adc-5a2a28a7f6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6048E0-3913-4F23-AD7A-5AD47E534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1447</Words>
  <Characters>8249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For Requirements Manual</vt:lpstr>
    </vt:vector>
  </TitlesOfParts>
  <Company>Carrier Corporation</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Requirements Manual</dc:title>
  <dc:subject>BU-Carrier</dc:subject>
  <dc:creator>Biagio Pucci</dc:creator>
  <cp:keywords>Non Technical, PT-08._Anti-Corruption; LANG-English</cp:keywords>
  <cp:lastModifiedBy>Dasdemir, Kim (KGS EE)</cp:lastModifiedBy>
  <cp:revision>2</cp:revision>
  <cp:lastPrinted>2025-07-28T22:11:00Z</cp:lastPrinted>
  <dcterms:created xsi:type="dcterms:W3CDTF">2025-12-22T14:36:00Z</dcterms:created>
  <dcterms:modified xsi:type="dcterms:W3CDTF">2025-12-22T14:36:00Z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864bb8-b671-4bed-ba85-9478127ab5e9_Enabled">
    <vt:lpwstr>true</vt:lpwstr>
  </property>
  <property fmtid="{D5CDD505-2E9C-101B-9397-08002B2CF9AE}" pid="3" name="MSIP_Label_b7864bb8-b671-4bed-ba85-9478127ab5e9_SetDate">
    <vt:lpwstr>2025-04-15T15:01:53Z</vt:lpwstr>
  </property>
  <property fmtid="{D5CDD505-2E9C-101B-9397-08002B2CF9AE}" pid="4" name="MSIP_Label_b7864bb8-b671-4bed-ba85-9478127ab5e9_Method">
    <vt:lpwstr>Standard</vt:lpwstr>
  </property>
  <property fmtid="{D5CDD505-2E9C-101B-9397-08002B2CF9AE}" pid="5" name="MSIP_Label_b7864bb8-b671-4bed-ba85-9478127ab5e9_Name">
    <vt:lpwstr>Confidential – 2023</vt:lpwstr>
  </property>
  <property fmtid="{D5CDD505-2E9C-101B-9397-08002B2CF9AE}" pid="6" name="MSIP_Label_b7864bb8-b671-4bed-ba85-9478127ab5e9_SiteId">
    <vt:lpwstr>36839a65-7f3f-4bac-9ea4-f571f10a9a03</vt:lpwstr>
  </property>
  <property fmtid="{D5CDD505-2E9C-101B-9397-08002B2CF9AE}" pid="7" name="MSIP_Label_b7864bb8-b671-4bed-ba85-9478127ab5e9_ActionId">
    <vt:lpwstr>b7e21c80-2d1c-4fbd-ac93-4d2bb0ee93d8</vt:lpwstr>
  </property>
  <property fmtid="{D5CDD505-2E9C-101B-9397-08002B2CF9AE}" pid="8" name="MSIP_Label_b7864bb8-b671-4bed-ba85-9478127ab5e9_ContentBits">
    <vt:lpwstr>0</vt:lpwstr>
  </property>
  <property fmtid="{D5CDD505-2E9C-101B-9397-08002B2CF9AE}" pid="9" name="MSIP_Label_b7864bb8-b671-4bed-ba85-9478127ab5e9_Tag">
    <vt:lpwstr>10, 3, 0, 1</vt:lpwstr>
  </property>
  <property fmtid="{D5CDD505-2E9C-101B-9397-08002B2CF9AE}" pid="10" name="ContentTypeId">
    <vt:lpwstr>0x010100667C501B9511384AB078CCCE94753768</vt:lpwstr>
  </property>
  <property fmtid="{D5CDD505-2E9C-101B-9397-08002B2CF9AE}" pid="11" name="docLang">
    <vt:lpwstr>en</vt:lpwstr>
  </property>
  <property fmtid="{D5CDD505-2E9C-101B-9397-08002B2CF9AE}" pid="12" name="MediaServiceImageTags">
    <vt:lpwstr/>
  </property>
  <property fmtid="{D5CDD505-2E9C-101B-9397-08002B2CF9AE}" pid="13" name="MSIP_Label_68abcbc9-e00b-4bfb-8313-687c10433369_Enabled">
    <vt:lpwstr>true</vt:lpwstr>
  </property>
  <property fmtid="{D5CDD505-2E9C-101B-9397-08002B2CF9AE}" pid="14" name="MSIP_Label_68abcbc9-e00b-4bfb-8313-687c10433369_SetDate">
    <vt:lpwstr>2025-11-10T23:26:45Z</vt:lpwstr>
  </property>
  <property fmtid="{D5CDD505-2E9C-101B-9397-08002B2CF9AE}" pid="15" name="MSIP_Label_68abcbc9-e00b-4bfb-8313-687c10433369_Method">
    <vt:lpwstr>Privileged</vt:lpwstr>
  </property>
  <property fmtid="{D5CDD505-2E9C-101B-9397-08002B2CF9AE}" pid="16" name="MSIP_Label_68abcbc9-e00b-4bfb-8313-687c10433369_Name">
    <vt:lpwstr>SPO_ODB_information-protection</vt:lpwstr>
  </property>
  <property fmtid="{D5CDD505-2E9C-101B-9397-08002B2CF9AE}" pid="17" name="MSIP_Label_68abcbc9-e00b-4bfb-8313-687c10433369_SiteId">
    <vt:lpwstr>28c53238-125e-495d-a75e-5e342e3cea11</vt:lpwstr>
  </property>
  <property fmtid="{D5CDD505-2E9C-101B-9397-08002B2CF9AE}" pid="18" name="MSIP_Label_68abcbc9-e00b-4bfb-8313-687c10433369_ActionId">
    <vt:lpwstr>40d34800-6887-44ae-9b5c-2892d52a6169</vt:lpwstr>
  </property>
  <property fmtid="{D5CDD505-2E9C-101B-9397-08002B2CF9AE}" pid="19" name="MSIP_Label_68abcbc9-e00b-4bfb-8313-687c10433369_ContentBits">
    <vt:lpwstr>0</vt:lpwstr>
  </property>
  <property fmtid="{D5CDD505-2E9C-101B-9397-08002B2CF9AE}" pid="20" name="MSIP_Label_68abcbc9-e00b-4bfb-8313-687c10433369_Tag">
    <vt:lpwstr>50, 0, 1, 1</vt:lpwstr>
  </property>
</Properties>
</file>